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page" w:horzAnchor="page" w:tblpX="1324" w:tblpY="3577"/>
        <w:tblOverlap w:val="never"/>
        <w:tblW w:w="505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22"/>
        <w:gridCol w:w="1610"/>
        <w:gridCol w:w="2802"/>
        <w:gridCol w:w="3079"/>
        <w:gridCol w:w="2944"/>
        <w:gridCol w:w="30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20" w:type="pct"/>
            <w:vMerge w:val="restart"/>
            <w:tcBorders>
              <w:top w:val="single" w:color="auto" w:sz="4" w:space="0"/>
              <w:bottom w:val="nil"/>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eastAsia="宋体"/>
                <w:b/>
                <w:sz w:val="21"/>
                <w:lang w:val="en-US" w:eastAsia="zh-CN"/>
              </w:rPr>
            </w:pPr>
            <w:r>
              <w:rPr>
                <w:rFonts w:hint="eastAsia"/>
                <w:b/>
                <w:sz w:val="21"/>
                <w:lang w:val="en-US" w:eastAsia="zh-CN"/>
              </w:rPr>
              <w:t>1</w:t>
            </w:r>
          </w:p>
        </w:tc>
        <w:tc>
          <w:tcPr>
            <w:tcW w:w="570" w:type="pct"/>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eastAsia="zh-CN"/>
              </w:rPr>
            </w:pPr>
            <w:r>
              <w:rPr>
                <w:rFonts w:hint="eastAsia" w:ascii="Microsoft JhengHei"/>
                <w:b/>
                <w:sz w:val="21"/>
                <w:lang w:eastAsia="zh-CN"/>
              </w:rPr>
              <w:t>裁量条款</w:t>
            </w:r>
          </w:p>
        </w:tc>
        <w:tc>
          <w:tcPr>
            <w:tcW w:w="4209" w:type="pct"/>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ascii="Microsoft JhengHei"/>
                <w:b/>
                <w:sz w:val="21"/>
                <w:lang w:val="en-US"/>
              </w:rPr>
            </w:pPr>
            <w:r>
              <w:rPr>
                <w:rFonts w:hint="eastAsia" w:ascii="Microsoft JhengHei"/>
                <w:b/>
                <w:sz w:val="21"/>
                <w:lang w:val="en-US" w:eastAsia="zh-CN"/>
              </w:rPr>
              <w:t>第一条  本条是对《医疗机构制剂配制监督管理办法（试行）》第四十八条“处1万元以上3万元以下的罚款”裁量基准的规定。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20"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0" w:type="pct"/>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val="en-US" w:eastAsia="zh-CN"/>
              </w:rPr>
            </w:pPr>
            <w:r>
              <w:rPr>
                <w:rFonts w:hint="eastAsia" w:ascii="Microsoft JhengHei"/>
                <w:b/>
                <w:sz w:val="21"/>
                <w:lang w:val="en-US" w:eastAsia="zh-CN"/>
              </w:rPr>
              <w:t>关联法条</w:t>
            </w:r>
          </w:p>
        </w:tc>
        <w:tc>
          <w:tcPr>
            <w:tcW w:w="4209" w:type="pct"/>
            <w:gridSpan w:val="4"/>
            <w:tcBorders>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eastAsia"/>
                <w:sz w:val="21"/>
              </w:rPr>
            </w:pPr>
            <w:r>
              <w:rPr>
                <w:rFonts w:hint="eastAsia"/>
                <w:sz w:val="21"/>
                <w:lang w:val="en-US" w:eastAsia="zh-CN"/>
              </w:rPr>
              <w:t xml:space="preserve">《医疗机构制剂配制监督管理办法（试行）》第四十八条 </w:t>
            </w:r>
            <w:r>
              <w:rPr>
                <w:rFonts w:hint="default"/>
                <w:sz w:val="21"/>
                <w:lang w:val="en-US" w:eastAsia="zh-CN"/>
              </w:rPr>
              <w:t>申请人隐瞒有关情况或者提供虚假材料申请《医疗机构制剂许可证》的，省、自治区、直辖市（食品）药品监督管理部门不予受理或者不予批准，并给予警告，申请人在1年内不得再申请。申请人提供虚假材料取得《医疗机构制剂许可证》的，省、自治区、直辖市（食品）药品监督管理部门应当吊销其《医疗机构制剂许可证》，并处1万元以上3万元以下的罚款，申请人在5年内不得再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20"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0"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eastAsia="zh-CN"/>
              </w:rPr>
            </w:pPr>
            <w:r>
              <w:rPr>
                <w:rFonts w:hint="eastAsia" w:ascii="Microsoft JhengHei"/>
                <w:b/>
                <w:sz w:val="21"/>
                <w:lang w:eastAsia="zh-CN"/>
              </w:rPr>
              <w:t>裁量等级</w:t>
            </w:r>
          </w:p>
        </w:tc>
        <w:tc>
          <w:tcPr>
            <w:tcW w:w="992"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eastAsia="zh-CN"/>
              </w:rPr>
            </w:pPr>
            <w:r>
              <w:rPr>
                <w:rFonts w:hint="eastAsia" w:ascii="Microsoft JhengHei"/>
                <w:b/>
                <w:sz w:val="21"/>
                <w:lang w:eastAsia="zh-CN"/>
              </w:rPr>
              <w:t>减轻处罚幅度</w:t>
            </w:r>
          </w:p>
        </w:tc>
        <w:tc>
          <w:tcPr>
            <w:tcW w:w="1090"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eastAsia="zh-CN"/>
              </w:rPr>
            </w:pPr>
            <w:r>
              <w:rPr>
                <w:rFonts w:hint="eastAsia" w:ascii="Microsoft JhengHei"/>
                <w:b/>
                <w:sz w:val="21"/>
                <w:lang w:eastAsia="zh-CN"/>
              </w:rPr>
              <w:t>从轻处罚幅度</w:t>
            </w:r>
          </w:p>
        </w:tc>
        <w:tc>
          <w:tcPr>
            <w:tcW w:w="1042"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eastAsia="zh-CN"/>
              </w:rPr>
            </w:pPr>
            <w:r>
              <w:rPr>
                <w:rFonts w:hint="eastAsia" w:ascii="Microsoft JhengHei"/>
                <w:b/>
                <w:sz w:val="21"/>
                <w:lang w:eastAsia="zh-CN"/>
              </w:rPr>
              <w:t>一般处罚幅度</w:t>
            </w:r>
          </w:p>
        </w:tc>
        <w:tc>
          <w:tcPr>
            <w:tcW w:w="1085"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eastAsia="zh-CN"/>
              </w:rPr>
            </w:pPr>
            <w:r>
              <w:rPr>
                <w:rFonts w:hint="eastAsia" w:ascii="Microsoft JhengHei"/>
                <w:b/>
                <w:sz w:val="21"/>
                <w:lang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20"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0"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eastAsia="zh-CN"/>
              </w:rPr>
            </w:pPr>
            <w:r>
              <w:rPr>
                <w:rFonts w:hint="eastAsia" w:ascii="Microsoft JhengHei"/>
                <w:b/>
                <w:sz w:val="21"/>
                <w:lang w:eastAsia="zh-CN"/>
              </w:rPr>
              <w:t>裁量基准</w:t>
            </w:r>
          </w:p>
        </w:tc>
        <w:tc>
          <w:tcPr>
            <w:tcW w:w="992"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r>
              <w:rPr>
                <w:rFonts w:hint="default"/>
                <w:sz w:val="21"/>
                <w:lang w:val="en-US" w:eastAsia="zh-CN"/>
              </w:rPr>
              <w:t>符合裁量规则</w:t>
            </w:r>
            <w:r>
              <w:rPr>
                <w:rFonts w:hint="eastAsia"/>
                <w:sz w:val="21"/>
                <w:lang w:val="en-US" w:eastAsia="zh-CN"/>
              </w:rPr>
              <w:t>减轻行政处罚，处1万元以下的罚款。</w:t>
            </w:r>
          </w:p>
        </w:tc>
        <w:tc>
          <w:tcPr>
            <w:tcW w:w="1090"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从轻行政处罚，处1万元至1.6万元的罚款。</w:t>
            </w:r>
          </w:p>
        </w:tc>
        <w:tc>
          <w:tcPr>
            <w:tcW w:w="1042"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一般行政处罚，处1.6万元以上2.4万元以下的罚款。</w:t>
            </w:r>
          </w:p>
        </w:tc>
        <w:tc>
          <w:tcPr>
            <w:tcW w:w="1085"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从重行政处罚，处2.4万元至3万元的罚款。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7" w:hRule="atLeast"/>
        </w:trPr>
        <w:tc>
          <w:tcPr>
            <w:tcW w:w="220"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0" w:type="pct"/>
            <w:tcBorders>
              <w:top w:val="single" w:color="000000" w:sz="8" w:space="0"/>
              <w:left w:val="single" w:color="000000" w:sz="8" w:space="0"/>
              <w:bottom w:val="single" w:color="000000" w:sz="8" w:space="0"/>
              <w:right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2" w:line="240" w:lineRule="exact"/>
              <w:ind w:left="17" w:leftChars="0" w:right="11" w:rightChars="0"/>
              <w:jc w:val="both"/>
              <w:textAlignment w:val="auto"/>
              <w:rPr>
                <w:rFonts w:hint="eastAsia" w:eastAsia="宋体"/>
                <w:lang w:val="en-US" w:eastAsia="zh-CN"/>
              </w:rPr>
            </w:pPr>
            <w:r>
              <w:rPr>
                <w:rFonts w:hint="eastAsia" w:ascii="Microsoft JhengHei" w:eastAsia="Microsoft JhengHei"/>
                <w:b/>
                <w:sz w:val="21"/>
                <w:lang w:val="en-US" w:eastAsia="zh-CN"/>
              </w:rPr>
              <w:t>裁量因素</w:t>
            </w:r>
            <w:r>
              <w:rPr>
                <w:rFonts w:hint="eastAsia" w:ascii="Microsoft JhengHei" w:eastAsia="Microsoft JhengHei"/>
                <w:b w:val="0"/>
                <w:bCs/>
                <w:sz w:val="21"/>
                <w:lang w:val="en-US" w:eastAsia="zh-CN"/>
              </w:rPr>
              <w:t>（是指在进行裁量时，除裁量规则规定的从轻、减轻、从重情形外，可以考虑的因素）</w:t>
            </w:r>
          </w:p>
        </w:tc>
        <w:tc>
          <w:tcPr>
            <w:tcW w:w="4209" w:type="pct"/>
            <w:gridSpan w:val="4"/>
            <w:tcBorders>
              <w:top w:val="single" w:color="000000" w:sz="8" w:space="0"/>
              <w:left w:val="single" w:color="auto" w:sz="4" w:space="0"/>
              <w:bottom w:val="single" w:color="000000" w:sz="8" w:space="0"/>
              <w:right w:val="single" w:color="000000" w:sz="8" w:space="0"/>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before="157" w:beforeLines="50" w:after="0" w:line="240" w:lineRule="auto"/>
              <w:ind w:left="0" w:leftChars="0" w:right="0" w:firstLine="0" w:firstLineChars="0"/>
              <w:jc w:val="both"/>
              <w:textAlignment w:val="center"/>
              <w:rPr>
                <w:rFonts w:hint="eastAsia" w:cs="宋体"/>
                <w:b w:val="0"/>
                <w:bCs w:val="0"/>
                <w:color w:val="000000"/>
                <w:kern w:val="0"/>
                <w:sz w:val="20"/>
                <w:szCs w:val="20"/>
                <w:lang w:val="en-US" w:eastAsia="zh-CN" w:bidi="ar"/>
              </w:rPr>
            </w:pPr>
            <w:r>
              <w:rPr>
                <w:rFonts w:hint="eastAsia" w:ascii="宋体" w:hAnsi="宋体" w:eastAsia="宋体" w:cs="宋体"/>
                <w:b/>
                <w:bCs/>
                <w:color w:val="000000"/>
                <w:kern w:val="0"/>
                <w:sz w:val="21"/>
                <w:szCs w:val="21"/>
                <w:lang w:val="en-US" w:eastAsia="zh-CN" w:bidi="ar"/>
              </w:rPr>
              <w:t>从轻处罚考虑因素：</w:t>
            </w:r>
            <w:r>
              <w:rPr>
                <w:rFonts w:ascii="宋体" w:hAnsi="宋体" w:eastAsia="宋体" w:cs="宋体"/>
                <w:sz w:val="21"/>
                <w:szCs w:val="21"/>
                <w:lang w:val="zh-CN" w:eastAsia="zh-CN"/>
              </w:rPr>
              <w:t>医疗机构制剂条件符合医疗机构制剂许可证验收标准的</w:t>
            </w:r>
            <w:r>
              <w:rPr>
                <w:rFonts w:hint="eastAsia" w:cs="宋体"/>
                <w:b w:val="0"/>
                <w:bCs w:val="0"/>
                <w:color w:val="000000"/>
                <w:kern w:val="0"/>
                <w:sz w:val="20"/>
                <w:szCs w:val="20"/>
                <w:lang w:val="en-US" w:eastAsia="zh-CN" w:bidi="ar"/>
              </w:rPr>
              <w:t>。</w:t>
            </w:r>
          </w:p>
          <w:p>
            <w:pPr>
              <w:pStyle w:val="12"/>
              <w:keepNext w:val="0"/>
              <w:keepLines w:val="0"/>
              <w:pageBreakBefore w:val="0"/>
              <w:kinsoku/>
              <w:wordWrap/>
              <w:overflowPunct/>
              <w:topLinePunct w:val="0"/>
              <w:bidi w:val="0"/>
              <w:adjustRightInd/>
              <w:spacing w:before="0" w:after="0" w:line="240" w:lineRule="auto"/>
              <w:ind w:left="0" w:leftChars="0" w:right="0" w:firstLine="0" w:firstLineChars="0"/>
              <w:jc w:val="both"/>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从</w:t>
            </w:r>
            <w:r>
              <w:rPr>
                <w:rFonts w:hint="eastAsia" w:cs="宋体"/>
                <w:b/>
                <w:bCs/>
                <w:color w:val="000000"/>
                <w:kern w:val="0"/>
                <w:sz w:val="21"/>
                <w:szCs w:val="21"/>
                <w:lang w:val="en-US" w:eastAsia="zh-CN" w:bidi="ar"/>
              </w:rPr>
              <w:t>重</w:t>
            </w:r>
            <w:r>
              <w:rPr>
                <w:rFonts w:hint="eastAsia" w:ascii="宋体" w:hAnsi="宋体" w:eastAsia="宋体" w:cs="宋体"/>
                <w:b/>
                <w:bCs/>
                <w:color w:val="000000"/>
                <w:kern w:val="0"/>
                <w:sz w:val="21"/>
                <w:szCs w:val="21"/>
                <w:lang w:val="en-US" w:eastAsia="zh-CN" w:bidi="ar"/>
              </w:rPr>
              <w:t>处罚考虑因素：</w:t>
            </w:r>
          </w:p>
          <w:p>
            <w:pPr>
              <w:pStyle w:val="12"/>
              <w:keepNext w:val="0"/>
              <w:keepLines w:val="0"/>
              <w:pageBreakBefore w:val="0"/>
              <w:kinsoku/>
              <w:wordWrap/>
              <w:overflowPunct/>
              <w:topLinePunct w:val="0"/>
              <w:bidi w:val="0"/>
              <w:adjustRightInd/>
              <w:spacing w:before="0" w:after="0" w:line="240" w:lineRule="auto"/>
              <w:ind w:left="0" w:leftChars="0" w:right="0" w:firstLine="0" w:firstLineChars="0"/>
              <w:jc w:val="both"/>
              <w:rPr>
                <w:rFonts w:ascii="宋体" w:hAnsi="宋体" w:eastAsia="宋体" w:cs="宋体"/>
                <w:sz w:val="21"/>
                <w:szCs w:val="21"/>
                <w:lang w:val="zh-CN" w:eastAsia="zh-CN"/>
              </w:rPr>
            </w:pPr>
            <w:r>
              <w:rPr>
                <w:rFonts w:ascii="宋体" w:hAnsi="宋体" w:eastAsia="宋体" w:cs="宋体"/>
                <w:sz w:val="21"/>
                <w:szCs w:val="21"/>
                <w:lang w:val="zh-CN" w:eastAsia="zh-CN"/>
              </w:rPr>
              <w:t>（一）医疗机构制剂条件不符合医疗机构制剂许可证验收标准的；</w:t>
            </w:r>
          </w:p>
          <w:p>
            <w:pPr>
              <w:pStyle w:val="12"/>
              <w:keepNext w:val="0"/>
              <w:keepLines w:val="0"/>
              <w:pageBreakBefore w:val="0"/>
              <w:kinsoku/>
              <w:wordWrap/>
              <w:overflowPunct/>
              <w:topLinePunct w:val="0"/>
              <w:bidi w:val="0"/>
              <w:adjustRightInd/>
              <w:spacing w:before="0" w:after="0" w:line="240" w:lineRule="auto"/>
              <w:ind w:left="0" w:leftChars="0" w:right="0" w:firstLine="0" w:firstLineChars="0"/>
              <w:jc w:val="both"/>
              <w:rPr>
                <w:rFonts w:hint="default" w:cs="宋体"/>
                <w:b w:val="0"/>
                <w:bCs w:val="0"/>
                <w:color w:val="000000"/>
                <w:kern w:val="0"/>
                <w:sz w:val="20"/>
                <w:szCs w:val="20"/>
                <w:lang w:val="en-US" w:eastAsia="zh-CN" w:bidi="ar"/>
              </w:rPr>
            </w:pPr>
            <w:bookmarkStart w:id="0" w:name="No2194_T141K4X2"/>
            <w:bookmarkEnd w:id="0"/>
            <w:r>
              <w:rPr>
                <w:rFonts w:ascii="宋体" w:hAnsi="宋体" w:eastAsia="宋体" w:cs="宋体"/>
                <w:sz w:val="21"/>
                <w:szCs w:val="21"/>
                <w:lang w:val="zh-CN" w:eastAsia="zh-CN"/>
              </w:rPr>
              <w:t>（二）导致制剂质量不符合标准的</w:t>
            </w:r>
            <w:r>
              <w:rPr>
                <w:rFonts w:hint="eastAsia" w:cs="宋体"/>
                <w:sz w:val="21"/>
                <w:szCs w:val="21"/>
                <w:lang w:val="zh-CN" w:eastAsia="zh-CN"/>
              </w:rPr>
              <w:t>。</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b w:val="0"/>
          <w:bCs w:val="0"/>
          <w:kern w:val="2"/>
          <w:sz w:val="36"/>
          <w:szCs w:val="36"/>
          <w:lang w:val="en-US" w:eastAsia="zh-CN" w:bidi="ar-SA"/>
        </w:rPr>
      </w:pPr>
      <w:r>
        <w:rPr>
          <w:rFonts w:hint="eastAsia" w:ascii="国标黑体" w:hAnsi="国标黑体" w:eastAsia="国标黑体" w:cs="国标黑体"/>
          <w:kern w:val="2"/>
          <w:sz w:val="28"/>
          <w:szCs w:val="36"/>
          <w:lang w:val="en-US" w:eastAsia="zh-CN" w:bidi="ar-SA"/>
        </w:rPr>
        <w:t xml:space="preserve">附件1 </w:t>
      </w:r>
      <w:r>
        <w:rPr>
          <w:rFonts w:hint="eastAsia" w:ascii="Times New Roman" w:hAnsi="Times New Roman" w:eastAsia="黑体" w:cs="Times New Roman"/>
          <w:kern w:val="2"/>
          <w:sz w:val="28"/>
          <w:szCs w:val="36"/>
          <w:lang w:val="en-US" w:eastAsia="zh-CN" w:bidi="ar-SA"/>
        </w:rPr>
        <w:t xml:space="preserve">              </w:t>
      </w:r>
      <w:r>
        <w:rPr>
          <w:rFonts w:hint="eastAsia" w:ascii="Times New Roman" w:hAnsi="Times New Roman" w:eastAsia="黑体" w:cs="Times New Roman"/>
          <w:b w:val="0"/>
          <w:bCs w:val="0"/>
          <w:kern w:val="2"/>
          <w:sz w:val="28"/>
          <w:szCs w:val="36"/>
          <w:lang w:val="en-US" w:eastAsia="zh-CN" w:bidi="ar-SA"/>
        </w:rPr>
        <w:t xml:space="preserve"> </w:t>
      </w:r>
      <w:r>
        <w:rPr>
          <w:rFonts w:hint="eastAsia" w:ascii="方正小标宋_GBK" w:hAnsi="方正小标宋_GBK" w:eastAsia="方正小标宋_GBK" w:cs="方正小标宋_GBK"/>
          <w:b w:val="0"/>
          <w:bCs w:val="0"/>
          <w:kern w:val="2"/>
          <w:sz w:val="36"/>
          <w:szCs w:val="36"/>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36"/>
          <w:szCs w:val="36"/>
          <w:lang w:eastAsia="zh-CN"/>
        </w:rPr>
      </w:pPr>
      <w:r>
        <w:rPr>
          <w:rFonts w:hint="eastAsia" w:ascii="方正小标宋_GBK" w:hAnsi="方正小标宋_GBK" w:eastAsia="方正小标宋_GBK" w:cs="方正小标宋_GBK"/>
          <w:b w:val="0"/>
          <w:bCs w:val="0"/>
          <w:sz w:val="36"/>
          <w:szCs w:val="36"/>
        </w:rPr>
        <w:t>川渝药品行政处罚裁量基准（修订</w:t>
      </w:r>
      <w:r>
        <w:rPr>
          <w:rFonts w:hint="eastAsia" w:ascii="方正小标宋_GBK" w:hAnsi="方正小标宋_GBK" w:eastAsia="方正小标宋_GBK" w:cs="方正小标宋_GBK"/>
          <w:b w:val="0"/>
          <w:bCs w:val="0"/>
          <w:sz w:val="36"/>
          <w:szCs w:val="36"/>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kern w:val="2"/>
          <w:sz w:val="28"/>
          <w:szCs w:val="36"/>
          <w:lang w:val="en-US" w:eastAsia="zh-CN" w:bidi="ar-SA"/>
        </w:rPr>
        <w:sectPr>
          <w:footerReference r:id="rId5" w:type="first"/>
          <w:footerReference r:id="rId3" w:type="default"/>
          <w:footerReference r:id="rId4" w:type="even"/>
          <w:pgSz w:w="16838" w:h="11906" w:orient="landscape"/>
          <w:pgMar w:top="1800" w:right="1440" w:bottom="1800" w:left="1440" w:header="851" w:footer="992" w:gutter="0"/>
          <w:pgNumType w:fmt="decimal"/>
          <w:cols w:space="720" w:num="1"/>
          <w:titlePg/>
          <w:docGrid w:type="lines" w:linePitch="312" w:charSpace="0"/>
        </w:sect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征求意见稿）</w:t>
      </w:r>
    </w:p>
    <w:tbl>
      <w:tblPr>
        <w:tblStyle w:val="8"/>
        <w:tblpPr w:leftFromText="180" w:rightFromText="180" w:vertAnchor="page" w:horzAnchor="page" w:tblpX="1336" w:tblpY="2293"/>
        <w:tblOverlap w:val="never"/>
        <w:tblW w:w="506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21"/>
        <w:gridCol w:w="1612"/>
        <w:gridCol w:w="2806"/>
        <w:gridCol w:w="3083"/>
        <w:gridCol w:w="2947"/>
        <w:gridCol w:w="30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20" w:type="pct"/>
            <w:vMerge w:val="restart"/>
            <w:tcBorders>
              <w:top w:val="single" w:color="auto" w:sz="4" w:space="0"/>
              <w:bottom w:val="nil"/>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ind w:left="0"/>
              <w:jc w:val="center"/>
              <w:rPr>
                <w:rFonts w:hint="default" w:eastAsia="宋体"/>
                <w:b/>
                <w:sz w:val="21"/>
                <w:lang w:val="en-US" w:eastAsia="zh-CN"/>
              </w:rPr>
            </w:pPr>
            <w:r>
              <w:rPr>
                <w:rFonts w:hint="eastAsia"/>
                <w:b/>
                <w:sz w:val="21"/>
                <w:lang w:val="en-US" w:eastAsia="zh-CN"/>
              </w:rPr>
              <w:t>2</w:t>
            </w:r>
          </w:p>
        </w:tc>
        <w:tc>
          <w:tcPr>
            <w:tcW w:w="570" w:type="pct"/>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eastAsia="宋体"/>
                <w:b/>
                <w:sz w:val="21"/>
                <w:lang w:eastAsia="zh-CN"/>
              </w:rPr>
            </w:pPr>
            <w:r>
              <w:rPr>
                <w:rFonts w:hint="eastAsia" w:ascii="Microsoft JhengHei"/>
                <w:b/>
                <w:sz w:val="21"/>
                <w:lang w:eastAsia="zh-CN"/>
              </w:rPr>
              <w:t>裁量条款</w:t>
            </w:r>
          </w:p>
        </w:tc>
        <w:tc>
          <w:tcPr>
            <w:tcW w:w="4209" w:type="pct"/>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ascii="Microsoft JhengHei"/>
                <w:b/>
                <w:sz w:val="21"/>
                <w:lang w:val="en-US"/>
              </w:rPr>
            </w:pPr>
            <w:r>
              <w:rPr>
                <w:rFonts w:hint="eastAsia" w:ascii="Microsoft JhengHei"/>
                <w:b/>
                <w:sz w:val="21"/>
                <w:lang w:val="en-US" w:eastAsia="zh-CN"/>
              </w:rPr>
              <w:t>第二条  本条是对《医疗机构制剂配制监督管理办法（试行）》第五十二条“可以处5000元以上1万元以下的罚款”裁量基准的规定。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6" w:hRule="atLeast"/>
        </w:trPr>
        <w:tc>
          <w:tcPr>
            <w:tcW w:w="220"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0" w:type="pct"/>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val="en-US" w:eastAsia="zh-CN"/>
              </w:rPr>
            </w:pPr>
            <w:r>
              <w:rPr>
                <w:rFonts w:hint="eastAsia" w:ascii="Microsoft JhengHei"/>
                <w:b/>
                <w:sz w:val="21"/>
                <w:lang w:val="en-US" w:eastAsia="zh-CN"/>
              </w:rPr>
              <w:t>关联法条</w:t>
            </w:r>
          </w:p>
        </w:tc>
        <w:tc>
          <w:tcPr>
            <w:tcW w:w="4209" w:type="pct"/>
            <w:gridSpan w:val="4"/>
            <w:tcBorders>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default"/>
                <w:sz w:val="21"/>
                <w:lang w:val="en-US" w:eastAsia="zh-CN"/>
              </w:rPr>
            </w:pPr>
            <w:r>
              <w:rPr>
                <w:rFonts w:hint="eastAsia"/>
                <w:sz w:val="21"/>
                <w:lang w:val="en-US" w:eastAsia="zh-CN"/>
              </w:rPr>
              <w:t xml:space="preserve">《医疗机构制剂配制监督管理办法（试行）》第五十二条 </w:t>
            </w:r>
            <w:r>
              <w:rPr>
                <w:rFonts w:hint="default"/>
                <w:sz w:val="21"/>
                <w:lang w:val="en-US" w:eastAsia="zh-CN"/>
              </w:rPr>
              <w:t>医疗机构违反本办法第十九条、第二十四条规定的，由所在地省、自治区、直辖市（食品）药品监督管理部门责令改正。</w:t>
            </w:r>
          </w:p>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eastAsia"/>
                <w:sz w:val="21"/>
              </w:rPr>
            </w:pPr>
            <w:r>
              <w:rPr>
                <w:rFonts w:hint="default"/>
                <w:sz w:val="21"/>
                <w:lang w:val="en-US" w:eastAsia="zh-CN"/>
              </w:rPr>
              <w:t>医疗机构违反本办法第二十五条规定的，由所在地省、自治区、直辖市（食品）药品监督管理部门给予警告，责令限期改正；逾期不改正的，可以处5000元以上1万元以下的罚款。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20"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0"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eastAsia="zh-CN"/>
              </w:rPr>
            </w:pPr>
            <w:r>
              <w:rPr>
                <w:rFonts w:hint="eastAsia" w:ascii="Microsoft JhengHei"/>
                <w:b/>
                <w:sz w:val="21"/>
                <w:lang w:eastAsia="zh-CN"/>
              </w:rPr>
              <w:t>裁量等级</w:t>
            </w:r>
          </w:p>
        </w:tc>
        <w:tc>
          <w:tcPr>
            <w:tcW w:w="992"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eastAsia="zh-CN"/>
              </w:rPr>
            </w:pPr>
            <w:r>
              <w:rPr>
                <w:rFonts w:hint="eastAsia" w:ascii="Microsoft JhengHei"/>
                <w:b/>
                <w:sz w:val="21"/>
                <w:lang w:eastAsia="zh-CN"/>
              </w:rPr>
              <w:t>减轻处罚幅度</w:t>
            </w:r>
          </w:p>
        </w:tc>
        <w:tc>
          <w:tcPr>
            <w:tcW w:w="1090"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eastAsia="zh-CN"/>
              </w:rPr>
            </w:pPr>
            <w:r>
              <w:rPr>
                <w:rFonts w:hint="eastAsia" w:ascii="Microsoft JhengHei"/>
                <w:b/>
                <w:sz w:val="21"/>
                <w:lang w:eastAsia="zh-CN"/>
              </w:rPr>
              <w:t>从轻处罚幅度</w:t>
            </w:r>
          </w:p>
        </w:tc>
        <w:tc>
          <w:tcPr>
            <w:tcW w:w="1042"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eastAsia="zh-CN"/>
              </w:rPr>
            </w:pPr>
            <w:r>
              <w:rPr>
                <w:rFonts w:hint="eastAsia" w:ascii="Microsoft JhengHei"/>
                <w:b/>
                <w:sz w:val="21"/>
                <w:lang w:eastAsia="zh-CN"/>
              </w:rPr>
              <w:t>一般处罚幅度</w:t>
            </w:r>
          </w:p>
        </w:tc>
        <w:tc>
          <w:tcPr>
            <w:tcW w:w="1085"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eastAsia="zh-CN"/>
              </w:rPr>
            </w:pPr>
            <w:r>
              <w:rPr>
                <w:rFonts w:hint="eastAsia" w:ascii="Microsoft JhengHei"/>
                <w:b/>
                <w:sz w:val="21"/>
                <w:lang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220"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0"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eastAsia="zh-CN"/>
              </w:rPr>
            </w:pPr>
            <w:r>
              <w:rPr>
                <w:rFonts w:hint="eastAsia" w:ascii="Microsoft JhengHei"/>
                <w:b/>
                <w:sz w:val="21"/>
                <w:lang w:eastAsia="zh-CN"/>
              </w:rPr>
              <w:t>裁量基准</w:t>
            </w:r>
          </w:p>
        </w:tc>
        <w:tc>
          <w:tcPr>
            <w:tcW w:w="992"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p>
        </w:tc>
        <w:tc>
          <w:tcPr>
            <w:tcW w:w="1090"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从轻行政处罚，处0.5万元至0.65万元的罚款。</w:t>
            </w:r>
          </w:p>
        </w:tc>
        <w:tc>
          <w:tcPr>
            <w:tcW w:w="1042"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一般行政处罚，处0.65万元以上0.85万元以下的罚款。</w:t>
            </w:r>
          </w:p>
        </w:tc>
        <w:tc>
          <w:tcPr>
            <w:tcW w:w="1085"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从重行政处罚，处0.85万元至1万元的罚款。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9" w:hRule="atLeast"/>
        </w:trPr>
        <w:tc>
          <w:tcPr>
            <w:tcW w:w="220"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0" w:type="pct"/>
            <w:tcBorders>
              <w:top w:val="single" w:color="000000" w:sz="8" w:space="0"/>
              <w:left w:val="single" w:color="000000" w:sz="8" w:space="0"/>
              <w:right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2" w:line="240" w:lineRule="exact"/>
              <w:ind w:left="17" w:leftChars="0" w:right="11" w:rightChars="0"/>
              <w:jc w:val="both"/>
              <w:textAlignment w:val="auto"/>
              <w:rPr>
                <w:rFonts w:hint="eastAsia" w:eastAsia="宋体"/>
                <w:lang w:val="en-US" w:eastAsia="zh-CN"/>
              </w:rPr>
            </w:pPr>
            <w:r>
              <w:rPr>
                <w:rFonts w:hint="eastAsia" w:ascii="Microsoft JhengHei" w:eastAsia="Microsoft JhengHei"/>
                <w:b/>
                <w:sz w:val="21"/>
                <w:lang w:val="en-US" w:eastAsia="zh-CN"/>
              </w:rPr>
              <w:t>裁量因素</w:t>
            </w:r>
            <w:r>
              <w:rPr>
                <w:rFonts w:hint="eastAsia" w:ascii="Microsoft JhengHei" w:eastAsia="Microsoft JhengHei"/>
                <w:b w:val="0"/>
                <w:bCs/>
                <w:sz w:val="21"/>
                <w:lang w:val="en-US" w:eastAsia="zh-CN"/>
              </w:rPr>
              <w:t>（是指在进行裁量时，除裁量规则规定的从轻、减轻、从重情形外，可以考虑的因素）</w:t>
            </w:r>
          </w:p>
        </w:tc>
        <w:tc>
          <w:tcPr>
            <w:tcW w:w="4209" w:type="pct"/>
            <w:gridSpan w:val="4"/>
            <w:tcBorders>
              <w:top w:val="single" w:color="000000" w:sz="8" w:space="0"/>
              <w:left w:val="single" w:color="auto" w:sz="4" w:space="0"/>
              <w:bottom w:val="single" w:color="auto" w:sz="4" w:space="0"/>
              <w:right w:val="single" w:color="000000" w:sz="8" w:space="0"/>
            </w:tcBorders>
            <w:noWrap w:val="0"/>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157" w:beforeLines="50" w:line="240" w:lineRule="auto"/>
              <w:jc w:val="both"/>
              <w:textAlignment w:val="auto"/>
              <w:rPr>
                <w:rFonts w:hint="default" w:cs="宋体"/>
                <w:b w:val="0"/>
                <w:bCs w:val="0"/>
                <w:color w:val="000000"/>
                <w:kern w:val="0"/>
                <w:sz w:val="21"/>
                <w:szCs w:val="21"/>
                <w:lang w:val="zh-CN" w:eastAsia="zh-CN" w:bidi="ar"/>
              </w:rPr>
            </w:pPr>
            <w:r>
              <w:rPr>
                <w:rFonts w:hint="eastAsia" w:ascii="宋体" w:hAnsi="宋体" w:eastAsia="宋体" w:cs="宋体"/>
                <w:b/>
                <w:bCs/>
                <w:color w:val="000000"/>
                <w:kern w:val="0"/>
                <w:sz w:val="21"/>
                <w:szCs w:val="21"/>
                <w:lang w:val="en-US" w:eastAsia="zh-CN" w:bidi="ar"/>
              </w:rPr>
              <w:t>从轻处罚考虑因素：</w:t>
            </w:r>
            <w:r>
              <w:rPr>
                <w:rFonts w:hint="default" w:cs="宋体"/>
                <w:b w:val="0"/>
                <w:bCs w:val="0"/>
                <w:color w:val="000000"/>
                <w:kern w:val="0"/>
                <w:sz w:val="21"/>
                <w:szCs w:val="21"/>
                <w:lang w:val="zh-CN" w:eastAsia="zh-CN" w:bidi="ar"/>
              </w:rPr>
              <w:t>变更后配制条件符合医疗机构制剂许可证验收标准的。</w:t>
            </w:r>
          </w:p>
          <w:p>
            <w:pPr>
              <w:pStyle w:val="11"/>
              <w:keepNext w:val="0"/>
              <w:keepLines w:val="0"/>
              <w:pageBreakBefore w:val="0"/>
              <w:kinsoku/>
              <w:wordWrap/>
              <w:overflowPunct/>
              <w:topLinePunct w:val="0"/>
              <w:bidi w:val="0"/>
              <w:adjustRightInd/>
              <w:spacing w:before="2" w:line="240" w:lineRule="auto"/>
              <w:ind w:right="11"/>
              <w:jc w:val="both"/>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从重处罚考虑因素：</w:t>
            </w:r>
          </w:p>
          <w:p>
            <w:pPr>
              <w:pStyle w:val="11"/>
              <w:keepNext w:val="0"/>
              <w:keepLines w:val="0"/>
              <w:pageBreakBefore w:val="0"/>
              <w:kinsoku/>
              <w:wordWrap/>
              <w:overflowPunct/>
              <w:topLinePunct w:val="0"/>
              <w:bidi w:val="0"/>
              <w:adjustRightInd/>
              <w:spacing w:before="2" w:line="240" w:lineRule="auto"/>
              <w:ind w:right="11"/>
              <w:jc w:val="both"/>
              <w:rPr>
                <w:rFonts w:hint="default" w:cs="宋体"/>
                <w:b w:val="0"/>
                <w:bCs w:val="0"/>
                <w:color w:val="000000"/>
                <w:kern w:val="0"/>
                <w:sz w:val="21"/>
                <w:szCs w:val="21"/>
                <w:lang w:val="zh-CN" w:eastAsia="zh-CN" w:bidi="ar"/>
              </w:rPr>
            </w:pPr>
            <w:r>
              <w:rPr>
                <w:rFonts w:hint="default" w:cs="宋体"/>
                <w:b w:val="0"/>
                <w:bCs w:val="0"/>
                <w:color w:val="000000"/>
                <w:kern w:val="0"/>
                <w:sz w:val="21"/>
                <w:szCs w:val="21"/>
                <w:lang w:val="zh-CN" w:eastAsia="zh-CN" w:bidi="ar"/>
              </w:rPr>
              <w:t>（一）变更后配制条件不符合医疗机构制剂许可证验收标准的；</w:t>
            </w:r>
          </w:p>
          <w:p>
            <w:pPr>
              <w:pStyle w:val="11"/>
              <w:keepNext w:val="0"/>
              <w:keepLines w:val="0"/>
              <w:pageBreakBefore w:val="0"/>
              <w:kinsoku/>
              <w:wordWrap/>
              <w:overflowPunct/>
              <w:topLinePunct w:val="0"/>
              <w:bidi w:val="0"/>
              <w:adjustRightInd/>
              <w:spacing w:before="2" w:line="240" w:lineRule="auto"/>
              <w:ind w:right="11"/>
              <w:jc w:val="both"/>
              <w:rPr>
                <w:rFonts w:hint="default" w:eastAsia="宋体"/>
                <w:sz w:val="21"/>
                <w:lang w:val="en-US" w:eastAsia="zh-CN"/>
              </w:rPr>
            </w:pPr>
            <w:r>
              <w:rPr>
                <w:rFonts w:hint="default" w:cs="宋体"/>
                <w:b w:val="0"/>
                <w:bCs w:val="0"/>
                <w:color w:val="000000"/>
                <w:kern w:val="0"/>
                <w:sz w:val="21"/>
                <w:szCs w:val="21"/>
                <w:lang w:val="zh-CN" w:eastAsia="zh-CN" w:bidi="ar"/>
              </w:rPr>
              <w:t>（二）导致制剂质量不符合标准的。</w:t>
            </w:r>
          </w:p>
        </w:tc>
      </w:tr>
    </w:tbl>
    <w:p>
      <w:pPr>
        <w:pStyle w:val="11"/>
        <w:keepNext w:val="0"/>
        <w:keepLines w:val="0"/>
        <w:pageBreakBefore w:val="0"/>
        <w:widowControl w:val="0"/>
        <w:kinsoku/>
        <w:wordWrap/>
        <w:overflowPunct/>
        <w:topLinePunct w:val="0"/>
        <w:autoSpaceDE w:val="0"/>
        <w:autoSpaceDN w:val="0"/>
        <w:bidi w:val="0"/>
        <w:adjustRightInd/>
        <w:snapToGrid/>
        <w:spacing w:line="240" w:lineRule="auto"/>
        <w:ind w:right="0" w:firstLine="421" w:firstLineChars="200"/>
        <w:jc w:val="both"/>
        <w:textAlignment w:val="auto"/>
        <w:rPr>
          <w:rFonts w:hint="eastAsia" w:ascii="Microsoft JhengHei"/>
          <w:b/>
          <w:sz w:val="21"/>
          <w:lang w:val="en-US" w:eastAsia="zh-CN"/>
        </w:rPr>
        <w:sectPr>
          <w:headerReference r:id="rId8" w:type="first"/>
          <w:footerReference r:id="rId11" w:type="first"/>
          <w:headerReference r:id="rId6" w:type="default"/>
          <w:footerReference r:id="rId9" w:type="default"/>
          <w:headerReference r:id="rId7" w:type="even"/>
          <w:footerReference r:id="rId10" w:type="even"/>
          <w:pgSz w:w="16838" w:h="11906" w:orient="landscape"/>
          <w:pgMar w:top="1800" w:right="1440" w:bottom="1800" w:left="1440" w:header="851" w:footer="992" w:gutter="0"/>
          <w:pgNumType w:fmt="decimal"/>
          <w:cols w:space="720" w:num="1"/>
          <w:titlePg/>
          <w:docGrid w:type="lines" w:linePitch="312" w:charSpace="0"/>
        </w:sectPr>
      </w:pPr>
    </w:p>
    <w:tbl>
      <w:tblPr>
        <w:tblStyle w:val="8"/>
        <w:tblpPr w:leftFromText="180" w:rightFromText="180" w:vertAnchor="page" w:horzAnchor="page" w:tblpX="1336" w:tblpY="2293"/>
        <w:tblOverlap w:val="never"/>
        <w:tblW w:w="506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17"/>
        <w:gridCol w:w="1612"/>
        <w:gridCol w:w="2809"/>
        <w:gridCol w:w="3083"/>
        <w:gridCol w:w="2948"/>
        <w:gridCol w:w="30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18" w:type="pct"/>
            <w:vMerge w:val="restart"/>
            <w:tcBorders>
              <w:top w:val="single" w:color="auto" w:sz="4" w:space="0"/>
              <w:bottom w:val="nil"/>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ind w:left="14"/>
              <w:jc w:val="center"/>
              <w:rPr>
                <w:rFonts w:hint="eastAsia" w:eastAsia="宋体"/>
                <w:b/>
                <w:sz w:val="21"/>
                <w:lang w:val="en-US" w:eastAsia="zh-CN"/>
              </w:rPr>
            </w:pPr>
            <w:r>
              <w:rPr>
                <w:rFonts w:hint="eastAsia"/>
                <w:b/>
                <w:sz w:val="21"/>
                <w:lang w:val="en-US" w:eastAsia="zh-CN"/>
              </w:rPr>
              <w:t>3</w:t>
            </w:r>
          </w:p>
        </w:tc>
        <w:tc>
          <w:tcPr>
            <w:tcW w:w="570" w:type="pct"/>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eastAsia="宋体"/>
                <w:b/>
                <w:sz w:val="21"/>
                <w:lang w:eastAsia="zh-CN"/>
              </w:rPr>
            </w:pPr>
            <w:r>
              <w:rPr>
                <w:rFonts w:hint="eastAsia" w:ascii="Microsoft JhengHei"/>
                <w:b/>
                <w:sz w:val="21"/>
                <w:lang w:eastAsia="zh-CN"/>
              </w:rPr>
              <w:t>裁量条款</w:t>
            </w:r>
          </w:p>
        </w:tc>
        <w:tc>
          <w:tcPr>
            <w:tcW w:w="4211" w:type="pct"/>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ascii="Microsoft JhengHei"/>
                <w:b/>
                <w:sz w:val="21"/>
                <w:lang w:val="en-US"/>
              </w:rPr>
            </w:pPr>
            <w:r>
              <w:rPr>
                <w:rFonts w:hint="eastAsia" w:ascii="Microsoft JhengHei"/>
                <w:b/>
                <w:sz w:val="21"/>
                <w:lang w:val="en-US" w:eastAsia="zh-CN"/>
              </w:rPr>
              <w:t>第三条  本条是对《医疗机构制剂注册管理办法（试行）》第四十一条“并</w:t>
            </w:r>
            <w:r>
              <w:rPr>
                <w:rFonts w:hint="default" w:ascii="Microsoft JhengHei"/>
                <w:b/>
                <w:sz w:val="21"/>
                <w:lang w:val="en-US" w:eastAsia="zh-CN"/>
              </w:rPr>
              <w:t>处1万元以上3万元以下罚款</w:t>
            </w:r>
            <w:r>
              <w:rPr>
                <w:rFonts w:hint="eastAsia" w:ascii="Microsoft JhengHei"/>
                <w:b/>
                <w:sz w:val="21"/>
                <w:lang w:val="en-US" w:eastAsia="zh-CN"/>
              </w:rPr>
              <w:t>”裁量基准的规定。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18"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0" w:type="pct"/>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eastAsia="宋体"/>
                <w:b/>
                <w:sz w:val="21"/>
                <w:lang w:val="en-US" w:eastAsia="zh-CN"/>
              </w:rPr>
            </w:pPr>
            <w:r>
              <w:rPr>
                <w:rFonts w:hint="eastAsia" w:ascii="Microsoft JhengHei"/>
                <w:b/>
                <w:sz w:val="21"/>
                <w:lang w:val="en-US" w:eastAsia="zh-CN"/>
              </w:rPr>
              <w:t>关联法条</w:t>
            </w:r>
          </w:p>
        </w:tc>
        <w:tc>
          <w:tcPr>
            <w:tcW w:w="4211" w:type="pct"/>
            <w:gridSpan w:val="4"/>
            <w:tcBorders>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eastAsia"/>
                <w:sz w:val="21"/>
              </w:rPr>
            </w:pPr>
            <w:r>
              <w:rPr>
                <w:rFonts w:hint="eastAsia"/>
                <w:sz w:val="21"/>
                <w:lang w:val="en-US" w:eastAsia="zh-CN"/>
              </w:rPr>
              <w:t xml:space="preserve">《医疗机构制剂注册管理办法（试行）》第四十一条 </w:t>
            </w:r>
            <w:r>
              <w:rPr>
                <w:rFonts w:hint="default"/>
                <w:sz w:val="21"/>
                <w:lang w:val="en-US" w:eastAsia="zh-CN"/>
              </w:rPr>
              <w:t>提供虚假的证明文件、申报资料、样品或者采取其他欺骗手段申请批准证明文件的，省、自治区、直辖市（食品）药品监督管理部门对该申请不予受理，对申请人给予警告，1年内不受理其申请；已取得批准证明文件的，撤销其批准证明文件，5年内不受理其申请，并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18"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0"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裁量等级</w:t>
            </w:r>
          </w:p>
        </w:tc>
        <w:tc>
          <w:tcPr>
            <w:tcW w:w="993"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eastAsia="zh-CN"/>
              </w:rPr>
            </w:pPr>
            <w:r>
              <w:rPr>
                <w:rFonts w:hint="eastAsia" w:ascii="Microsoft JhengHei"/>
                <w:b/>
                <w:sz w:val="21"/>
                <w:lang w:eastAsia="zh-CN"/>
              </w:rPr>
              <w:t>减轻处罚幅度</w:t>
            </w:r>
          </w:p>
        </w:tc>
        <w:tc>
          <w:tcPr>
            <w:tcW w:w="1090"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eastAsia="zh-CN"/>
              </w:rPr>
            </w:pPr>
            <w:r>
              <w:rPr>
                <w:rFonts w:hint="eastAsia" w:ascii="Microsoft JhengHei"/>
                <w:b/>
                <w:sz w:val="21"/>
                <w:lang w:eastAsia="zh-CN"/>
              </w:rPr>
              <w:t>从轻处罚幅度</w:t>
            </w:r>
          </w:p>
        </w:tc>
        <w:tc>
          <w:tcPr>
            <w:tcW w:w="1042"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eastAsia="zh-CN"/>
              </w:rPr>
            </w:pPr>
            <w:r>
              <w:rPr>
                <w:rFonts w:hint="eastAsia" w:ascii="Microsoft JhengHei"/>
                <w:b/>
                <w:sz w:val="21"/>
                <w:lang w:eastAsia="zh-CN"/>
              </w:rPr>
              <w:t>一般处罚幅度</w:t>
            </w:r>
          </w:p>
        </w:tc>
        <w:tc>
          <w:tcPr>
            <w:tcW w:w="1085"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eastAsia="zh-CN"/>
              </w:rPr>
            </w:pPr>
            <w:r>
              <w:rPr>
                <w:rFonts w:hint="eastAsia" w:ascii="Microsoft JhengHei"/>
                <w:b/>
                <w:sz w:val="21"/>
                <w:lang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218"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0"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val="en-US" w:eastAsia="zh-CN"/>
              </w:rPr>
            </w:pPr>
            <w:r>
              <w:rPr>
                <w:rFonts w:hint="eastAsia" w:ascii="Microsoft JhengHei"/>
                <w:b/>
                <w:sz w:val="21"/>
                <w:lang w:val="en-US" w:eastAsia="zh-CN"/>
              </w:rPr>
              <w:t>裁量基准</w:t>
            </w:r>
          </w:p>
        </w:tc>
        <w:tc>
          <w:tcPr>
            <w:tcW w:w="993"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r>
              <w:rPr>
                <w:rFonts w:hint="default"/>
                <w:sz w:val="21"/>
                <w:lang w:val="en-US" w:eastAsia="zh-CN"/>
              </w:rPr>
              <w:t>符合裁量规则</w:t>
            </w:r>
            <w:r>
              <w:rPr>
                <w:rFonts w:hint="eastAsia"/>
                <w:sz w:val="21"/>
                <w:lang w:val="en-US" w:eastAsia="zh-CN"/>
              </w:rPr>
              <w:t>减轻行政处罚，处1万元以下的罚款。</w:t>
            </w:r>
          </w:p>
        </w:tc>
        <w:tc>
          <w:tcPr>
            <w:tcW w:w="1090"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从轻行政处罚，处1万元至1.6万元的罚款。</w:t>
            </w:r>
          </w:p>
        </w:tc>
        <w:tc>
          <w:tcPr>
            <w:tcW w:w="1042"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一般行政处罚，处1.6万元以上2.4万元以下的罚款。</w:t>
            </w:r>
          </w:p>
        </w:tc>
        <w:tc>
          <w:tcPr>
            <w:tcW w:w="1085"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从重行政处罚，处2.4万元至3万元的罚款。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7" w:hRule="atLeast"/>
        </w:trPr>
        <w:tc>
          <w:tcPr>
            <w:tcW w:w="218"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0" w:type="pct"/>
            <w:tcBorders>
              <w:top w:val="single" w:color="000000" w:sz="8" w:space="0"/>
              <w:left w:val="single" w:color="000000" w:sz="8" w:space="0"/>
              <w:bottom w:val="single" w:color="000000" w:sz="8" w:space="0"/>
              <w:right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2" w:line="240" w:lineRule="exact"/>
              <w:ind w:left="17" w:leftChars="0" w:right="11" w:rightChars="0"/>
              <w:jc w:val="both"/>
              <w:textAlignment w:val="auto"/>
              <w:rPr>
                <w:rFonts w:hint="eastAsia" w:eastAsia="宋体"/>
                <w:lang w:val="en-US" w:eastAsia="zh-CN"/>
              </w:rPr>
            </w:pPr>
            <w:r>
              <w:rPr>
                <w:rFonts w:hint="eastAsia" w:ascii="Microsoft JhengHei" w:eastAsia="Microsoft JhengHei"/>
                <w:b/>
                <w:sz w:val="21"/>
                <w:lang w:val="en-US" w:eastAsia="zh-CN"/>
              </w:rPr>
              <w:t>裁量因素</w:t>
            </w:r>
            <w:r>
              <w:rPr>
                <w:rFonts w:hint="eastAsia" w:ascii="Microsoft JhengHei" w:eastAsia="Microsoft JhengHei"/>
                <w:b w:val="0"/>
                <w:bCs/>
                <w:sz w:val="21"/>
                <w:lang w:val="en-US" w:eastAsia="zh-CN"/>
              </w:rPr>
              <w:t>（是指在进行裁量时，除裁量规则规定的从轻、减轻、从重情形外，可以考虑的因素）</w:t>
            </w:r>
          </w:p>
        </w:tc>
        <w:tc>
          <w:tcPr>
            <w:tcW w:w="4211" w:type="pct"/>
            <w:gridSpan w:val="4"/>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157" w:beforeLines="50" w:line="240" w:lineRule="auto"/>
              <w:jc w:val="both"/>
              <w:textAlignment w:val="auto"/>
              <w:rPr>
                <w:rFonts w:hint="default" w:eastAsia="宋体"/>
                <w:sz w:val="21"/>
                <w:lang w:val="en-US" w:eastAsia="zh-CN"/>
              </w:rPr>
            </w:pPr>
            <w:r>
              <w:rPr>
                <w:rFonts w:hint="eastAsia" w:ascii="宋体" w:hAnsi="宋体" w:eastAsia="宋体" w:cs="宋体"/>
                <w:b/>
                <w:bCs/>
                <w:color w:val="000000"/>
                <w:kern w:val="0"/>
                <w:sz w:val="21"/>
                <w:szCs w:val="21"/>
                <w:lang w:val="en-US" w:eastAsia="zh-CN" w:bidi="ar"/>
              </w:rPr>
              <w:t>从轻处罚考虑因素：</w:t>
            </w:r>
            <w:r>
              <w:rPr>
                <w:rFonts w:hint="default" w:cs="宋体"/>
                <w:b w:val="0"/>
                <w:bCs w:val="0"/>
                <w:color w:val="000000"/>
                <w:kern w:val="0"/>
                <w:sz w:val="21"/>
                <w:szCs w:val="22"/>
                <w:lang w:val="en-US" w:eastAsia="zh-CN" w:bidi="zh-CN"/>
              </w:rPr>
              <w:t>尚未生产、经营或者使用的。</w:t>
            </w:r>
          </w:p>
        </w:tc>
      </w:tr>
    </w:tbl>
    <w:p>
      <w:pPr>
        <w:pStyle w:val="11"/>
        <w:keepNext w:val="0"/>
        <w:keepLines w:val="0"/>
        <w:pageBreakBefore w:val="0"/>
        <w:widowControl w:val="0"/>
        <w:kinsoku/>
        <w:wordWrap/>
        <w:overflowPunct/>
        <w:topLinePunct w:val="0"/>
        <w:autoSpaceDE w:val="0"/>
        <w:autoSpaceDN w:val="0"/>
        <w:bidi w:val="0"/>
        <w:adjustRightInd/>
        <w:snapToGrid/>
        <w:spacing w:line="240" w:lineRule="auto"/>
        <w:ind w:right="0" w:firstLine="421" w:firstLineChars="200"/>
        <w:jc w:val="both"/>
        <w:textAlignment w:val="auto"/>
        <w:rPr>
          <w:rFonts w:hint="eastAsia" w:ascii="Microsoft JhengHei"/>
          <w:b/>
          <w:sz w:val="21"/>
          <w:lang w:val="en-US" w:eastAsia="zh-CN"/>
        </w:rPr>
        <w:sectPr>
          <w:pgSz w:w="16838" w:h="11906" w:orient="landscape"/>
          <w:pgMar w:top="1800" w:right="1440" w:bottom="1800" w:left="1440" w:header="851" w:footer="992" w:gutter="0"/>
          <w:pgNumType w:fmt="decimal"/>
          <w:cols w:space="720" w:num="1"/>
          <w:docGrid w:type="lines" w:linePitch="312" w:charSpace="0"/>
        </w:sectPr>
      </w:pPr>
    </w:p>
    <w:tbl>
      <w:tblPr>
        <w:tblStyle w:val="8"/>
        <w:tblpPr w:leftFromText="180" w:rightFromText="180" w:vertAnchor="page" w:horzAnchor="page" w:tblpX="1339" w:tblpY="2301"/>
        <w:tblOverlap w:val="never"/>
        <w:tblW w:w="140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3"/>
        <w:gridCol w:w="1607"/>
        <w:gridCol w:w="2799"/>
        <w:gridCol w:w="3072"/>
        <w:gridCol w:w="2937"/>
        <w:gridCol w:w="3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23" w:type="dxa"/>
            <w:vMerge w:val="restart"/>
            <w:tcBorders>
              <w:top w:val="single" w:color="auto" w:sz="4" w:space="0"/>
              <w:bottom w:val="nil"/>
              <w:right w:val="single" w:color="000000" w:sz="8" w:space="0"/>
            </w:tcBorders>
            <w:noWrap w:val="0"/>
            <w:vAlign w:val="center"/>
          </w:tcPr>
          <w:p>
            <w:pPr>
              <w:widowControl w:val="0"/>
              <w:snapToGrid w:val="0"/>
              <w:spacing w:line="400" w:lineRule="exact"/>
              <w:jc w:val="center"/>
              <w:rPr>
                <w:rFonts w:hint="default" w:ascii="Times New Roman" w:hAnsi="Times New Roman" w:eastAsia="宋体" w:cs="Times New Roman"/>
                <w:b/>
                <w:snapToGrid w:val="0"/>
                <w:kern w:val="2"/>
                <w:sz w:val="21"/>
                <w:szCs w:val="24"/>
                <w:lang w:val="en-US" w:eastAsia="zh-CN" w:bidi="ar-SA"/>
              </w:rPr>
            </w:pPr>
            <w:r>
              <w:rPr>
                <w:rFonts w:hint="eastAsia" w:ascii="Times New Roman" w:hAnsi="Times New Roman" w:cs="Times New Roman"/>
                <w:b/>
                <w:snapToGrid w:val="0"/>
                <w:kern w:val="2"/>
                <w:sz w:val="21"/>
                <w:szCs w:val="24"/>
                <w:lang w:val="en-US" w:eastAsia="zh-CN" w:bidi="ar-SA"/>
              </w:rPr>
              <w:t>4</w:t>
            </w:r>
          </w:p>
        </w:tc>
        <w:tc>
          <w:tcPr>
            <w:tcW w:w="1607" w:type="dxa"/>
            <w:noWrap w:val="0"/>
            <w:vAlign w:val="center"/>
          </w:tcPr>
          <w:p>
            <w:pPr>
              <w:widowControl w:val="0"/>
              <w:snapToGrid w:val="0"/>
              <w:spacing w:line="400" w:lineRule="exact"/>
              <w:jc w:val="center"/>
              <w:rPr>
                <w:rFonts w:hint="eastAsia" w:ascii="Times New Roman" w:hAnsi="Times New Roman" w:eastAsia="宋体" w:cs="Times New Roman"/>
                <w:b/>
                <w:snapToGrid w:val="0"/>
                <w:kern w:val="2"/>
                <w:sz w:val="21"/>
                <w:szCs w:val="24"/>
                <w:lang w:val="en-US" w:eastAsia="zh-CN" w:bidi="ar-SA"/>
              </w:rPr>
            </w:pPr>
            <w:r>
              <w:rPr>
                <w:rFonts w:hint="eastAsia" w:ascii="Times New Roman" w:hAnsi="Times New Roman" w:eastAsia="宋体" w:cs="Times New Roman"/>
                <w:b/>
                <w:snapToGrid w:val="0"/>
                <w:kern w:val="2"/>
                <w:sz w:val="21"/>
                <w:szCs w:val="24"/>
                <w:lang w:val="en-US" w:eastAsia="zh-CN" w:bidi="ar-SA"/>
              </w:rPr>
              <w:t>裁量条款</w:t>
            </w:r>
          </w:p>
        </w:tc>
        <w:tc>
          <w:tcPr>
            <w:tcW w:w="11861" w:type="dxa"/>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hint="eastAsia" w:ascii="Microsoft JhengHei"/>
                <w:b/>
                <w:sz w:val="21"/>
                <w:lang w:val="en-US" w:eastAsia="zh-CN"/>
              </w:rPr>
            </w:pPr>
            <w:r>
              <w:rPr>
                <w:rFonts w:hint="eastAsia" w:ascii="Microsoft JhengHei"/>
                <w:b/>
                <w:sz w:val="21"/>
                <w:lang w:val="en-US" w:eastAsia="zh-CN"/>
              </w:rPr>
              <w:t>第四条  本条是对《药品类易制毒化学品管理办法》第四十三条“可以并处1万元以上3万元以下的罚款”裁量基准的规定。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5" w:hRule="atLeast"/>
        </w:trPr>
        <w:tc>
          <w:tcPr>
            <w:tcW w:w="623"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607" w:type="dxa"/>
            <w:noWrap w:val="0"/>
            <w:vAlign w:val="center"/>
          </w:tcPr>
          <w:p>
            <w:pPr>
              <w:widowControl w:val="0"/>
              <w:snapToGrid w:val="0"/>
              <w:spacing w:line="400" w:lineRule="exact"/>
              <w:jc w:val="center"/>
              <w:rPr>
                <w:rFonts w:hint="eastAsia" w:ascii="Times New Roman" w:hAnsi="Times New Roman" w:eastAsia="宋体" w:cs="Times New Roman"/>
                <w:b/>
                <w:snapToGrid w:val="0"/>
                <w:kern w:val="2"/>
                <w:sz w:val="21"/>
                <w:szCs w:val="24"/>
                <w:lang w:val="en-US" w:eastAsia="zh-CN" w:bidi="ar-SA"/>
              </w:rPr>
            </w:pPr>
            <w:r>
              <w:rPr>
                <w:rFonts w:hint="eastAsia" w:ascii="Times New Roman" w:hAnsi="Times New Roman" w:eastAsia="宋体" w:cs="Times New Roman"/>
                <w:b/>
                <w:snapToGrid w:val="0"/>
                <w:kern w:val="2"/>
                <w:sz w:val="21"/>
                <w:szCs w:val="24"/>
                <w:lang w:val="en-US" w:eastAsia="zh-CN" w:bidi="ar-SA"/>
              </w:rPr>
              <w:t>关联法条</w:t>
            </w:r>
          </w:p>
        </w:tc>
        <w:tc>
          <w:tcPr>
            <w:tcW w:w="11861" w:type="dxa"/>
            <w:gridSpan w:val="4"/>
            <w:tcBorders>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line="288" w:lineRule="auto"/>
              <w:ind w:right="0" w:firstLine="420" w:firstLineChars="200"/>
              <w:jc w:val="both"/>
              <w:textAlignment w:val="auto"/>
              <w:rPr>
                <w:rFonts w:hint="eastAsia"/>
                <w:sz w:val="21"/>
                <w:lang w:val="en-US" w:eastAsia="zh-CN"/>
              </w:rPr>
            </w:pPr>
            <w:r>
              <w:rPr>
                <w:rFonts w:hint="eastAsia"/>
                <w:sz w:val="21"/>
                <w:lang w:val="en-US" w:eastAsia="zh-CN"/>
              </w:rPr>
              <w:t>《药品类易制毒化学品管理办法》第四十三条　有下列情形之一的，由县级以上食品药品监督管理部门给予警告，责令限期改正，可以并处1万元以上3万元以下的罚款：</w:t>
            </w:r>
          </w:p>
          <w:p>
            <w:pPr>
              <w:pStyle w:val="11"/>
              <w:keepNext w:val="0"/>
              <w:keepLines w:val="0"/>
              <w:pageBreakBefore w:val="0"/>
              <w:widowControl w:val="0"/>
              <w:kinsoku/>
              <w:wordWrap/>
              <w:overflowPunct/>
              <w:topLinePunct w:val="0"/>
              <w:autoSpaceDE w:val="0"/>
              <w:autoSpaceDN w:val="0"/>
              <w:bidi w:val="0"/>
              <w:adjustRightInd/>
              <w:snapToGrid/>
              <w:spacing w:line="240" w:lineRule="auto"/>
              <w:ind w:right="0" w:firstLine="420" w:firstLineChars="200"/>
              <w:jc w:val="both"/>
              <w:textAlignment w:val="auto"/>
              <w:rPr>
                <w:rFonts w:hint="eastAsia"/>
                <w:sz w:val="21"/>
                <w:lang w:val="en-US" w:eastAsia="zh-CN"/>
              </w:rPr>
            </w:pPr>
            <w:r>
              <w:rPr>
                <w:rFonts w:hint="eastAsia"/>
                <w:sz w:val="21"/>
                <w:lang w:val="en-US" w:eastAsia="zh-CN"/>
              </w:rPr>
              <w:t>（一）药品类易制毒化学品生产企业连续停产1年以上未按规定报告的，或者未经所在地省、自治区、直辖市食品药品监督管理部门现场检查即恢复生产的；</w:t>
            </w:r>
          </w:p>
          <w:p>
            <w:pPr>
              <w:pStyle w:val="11"/>
              <w:keepNext w:val="0"/>
              <w:keepLines w:val="0"/>
              <w:pageBreakBefore w:val="0"/>
              <w:widowControl w:val="0"/>
              <w:kinsoku/>
              <w:wordWrap/>
              <w:overflowPunct/>
              <w:topLinePunct w:val="0"/>
              <w:autoSpaceDE w:val="0"/>
              <w:autoSpaceDN w:val="0"/>
              <w:bidi w:val="0"/>
              <w:adjustRightInd/>
              <w:snapToGrid/>
              <w:spacing w:line="240" w:lineRule="auto"/>
              <w:ind w:right="0" w:firstLine="420" w:firstLineChars="200"/>
              <w:jc w:val="both"/>
              <w:textAlignment w:val="auto"/>
              <w:rPr>
                <w:rFonts w:hint="eastAsia"/>
                <w:sz w:val="21"/>
                <w:lang w:val="en-US" w:eastAsia="zh-CN"/>
              </w:rPr>
            </w:pPr>
            <w:r>
              <w:rPr>
                <w:rFonts w:hint="eastAsia"/>
                <w:sz w:val="21"/>
                <w:lang w:val="en-US" w:eastAsia="zh-CN"/>
              </w:rPr>
              <w:t>（二）药品类易制毒化学品生产企业、经营企业未按规定渠道购销药品类易制毒化学品的；</w:t>
            </w:r>
          </w:p>
          <w:p>
            <w:pPr>
              <w:pStyle w:val="11"/>
              <w:keepNext w:val="0"/>
              <w:keepLines w:val="0"/>
              <w:pageBreakBefore w:val="0"/>
              <w:widowControl w:val="0"/>
              <w:kinsoku/>
              <w:wordWrap/>
              <w:overflowPunct/>
              <w:topLinePunct w:val="0"/>
              <w:autoSpaceDE w:val="0"/>
              <w:autoSpaceDN w:val="0"/>
              <w:bidi w:val="0"/>
              <w:adjustRightInd/>
              <w:snapToGrid/>
              <w:spacing w:line="240" w:lineRule="auto"/>
              <w:ind w:right="0" w:firstLine="420" w:firstLineChars="200"/>
              <w:jc w:val="both"/>
              <w:textAlignment w:val="auto"/>
              <w:rPr>
                <w:rFonts w:hint="eastAsia"/>
                <w:sz w:val="21"/>
                <w:lang w:val="en-US" w:eastAsia="zh-CN"/>
              </w:rPr>
            </w:pPr>
            <w:r>
              <w:rPr>
                <w:rFonts w:hint="eastAsia"/>
                <w:sz w:val="21"/>
                <w:lang w:val="en-US" w:eastAsia="zh-CN"/>
              </w:rPr>
              <w:t>（三）麻醉药品区域性批发企业因特殊情况调剂药品类易制毒化学品后未按规定备案的；</w:t>
            </w:r>
          </w:p>
          <w:p>
            <w:pPr>
              <w:pStyle w:val="11"/>
              <w:keepNext w:val="0"/>
              <w:keepLines w:val="0"/>
              <w:pageBreakBefore w:val="0"/>
              <w:widowControl w:val="0"/>
              <w:kinsoku/>
              <w:wordWrap/>
              <w:overflowPunct/>
              <w:topLinePunct w:val="0"/>
              <w:autoSpaceDE w:val="0"/>
              <w:autoSpaceDN w:val="0"/>
              <w:bidi w:val="0"/>
              <w:adjustRightInd/>
              <w:snapToGrid/>
              <w:spacing w:after="157" w:afterLines="50" w:line="240" w:lineRule="auto"/>
              <w:ind w:right="0" w:firstLine="420" w:firstLineChars="200"/>
              <w:jc w:val="both"/>
              <w:textAlignment w:val="auto"/>
              <w:rPr>
                <w:rFonts w:ascii="Times New Roman" w:hAnsi="Times New Roman" w:eastAsia="宋体" w:cs="Times New Roman"/>
                <w:snapToGrid w:val="0"/>
                <w:kern w:val="2"/>
                <w:sz w:val="21"/>
                <w:szCs w:val="24"/>
                <w:lang w:val="en-US" w:eastAsia="zh-CN" w:bidi="ar-SA"/>
              </w:rPr>
            </w:pPr>
            <w:r>
              <w:rPr>
                <w:rFonts w:hint="eastAsia"/>
                <w:sz w:val="21"/>
                <w:lang w:val="en-US" w:eastAsia="zh-CN"/>
              </w:rPr>
              <w:t>（四）药品类易制毒化学品发生退货，购用单位、供货单位未按规定备案、报告的。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623"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607"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裁量等级</w:t>
            </w:r>
          </w:p>
        </w:tc>
        <w:tc>
          <w:tcPr>
            <w:tcW w:w="2799"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减轻处罚幅度</w:t>
            </w:r>
          </w:p>
        </w:tc>
        <w:tc>
          <w:tcPr>
            <w:tcW w:w="3072"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从轻处罚幅度</w:t>
            </w:r>
          </w:p>
        </w:tc>
        <w:tc>
          <w:tcPr>
            <w:tcW w:w="2937"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一般处罚幅度</w:t>
            </w:r>
          </w:p>
        </w:tc>
        <w:tc>
          <w:tcPr>
            <w:tcW w:w="3053"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623"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607" w:type="dxa"/>
            <w:tcBorders>
              <w:top w:val="single" w:color="000000" w:sz="8" w:space="0"/>
              <w:left w:val="single" w:color="000000" w:sz="8" w:space="0"/>
              <w:bottom w:val="single" w:color="000000" w:sz="8" w:space="0"/>
              <w:right w:val="single" w:color="000000" w:sz="8" w:space="0"/>
            </w:tcBorders>
            <w:noWrap w:val="0"/>
            <w:vAlign w:val="center"/>
          </w:tcPr>
          <w:p>
            <w:pPr>
              <w:widowControl w:val="0"/>
              <w:snapToGrid w:val="0"/>
              <w:spacing w:line="400" w:lineRule="exact"/>
              <w:jc w:val="center"/>
              <w:rPr>
                <w:rFonts w:ascii="Times New Roman" w:hAnsi="Times New Roman" w:eastAsia="Microsoft JhengHei" w:cs="Times New Roman"/>
                <w:b/>
                <w:snapToGrid w:val="0"/>
                <w:color w:val="000000"/>
                <w:kern w:val="2"/>
                <w:sz w:val="21"/>
                <w:szCs w:val="24"/>
                <w:lang w:val="en-US" w:eastAsia="zh-CN" w:bidi="ar-SA"/>
              </w:rPr>
            </w:pPr>
            <w:r>
              <w:rPr>
                <w:rFonts w:hint="eastAsia" w:ascii="Times New Roman" w:hAnsi="Times New Roman" w:eastAsia="Microsoft JhengHei" w:cs="Times New Roman"/>
                <w:b/>
                <w:snapToGrid w:val="0"/>
                <w:color w:val="000000"/>
                <w:kern w:val="2"/>
                <w:sz w:val="21"/>
                <w:szCs w:val="24"/>
                <w:lang w:val="en-US" w:eastAsia="zh-CN" w:bidi="ar-SA"/>
              </w:rPr>
              <w:t>裁量基准</w:t>
            </w:r>
          </w:p>
        </w:tc>
        <w:tc>
          <w:tcPr>
            <w:tcW w:w="2799"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r>
              <w:rPr>
                <w:rFonts w:hint="eastAsia"/>
                <w:sz w:val="21"/>
                <w:lang w:val="en-US" w:eastAsia="zh-CN"/>
              </w:rPr>
              <w:t>符合裁量规则减轻行政处罚情形的，处1万元以下的罚款。</w:t>
            </w:r>
          </w:p>
        </w:tc>
        <w:tc>
          <w:tcPr>
            <w:tcW w:w="3072"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从轻行政处罚，处1万元至1.6万元的罚款。</w:t>
            </w:r>
          </w:p>
        </w:tc>
        <w:tc>
          <w:tcPr>
            <w:tcW w:w="2937"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r>
              <w:rPr>
                <w:rFonts w:hint="eastAsia"/>
                <w:sz w:val="21"/>
                <w:lang w:val="en-US" w:eastAsia="zh-CN"/>
              </w:rPr>
              <w:t>一般行政处罚，处1.6万元以上2.4万元以下的罚款。</w:t>
            </w:r>
          </w:p>
        </w:tc>
        <w:tc>
          <w:tcPr>
            <w:tcW w:w="3053"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从重行政处罚，处2.4万元至3万元的罚款。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5" w:hRule="atLeast"/>
        </w:trPr>
        <w:tc>
          <w:tcPr>
            <w:tcW w:w="623" w:type="dxa"/>
            <w:vMerge w:val="continue"/>
            <w:tcBorders>
              <w:right w:val="single" w:color="000000" w:sz="8" w:space="0"/>
            </w:tcBorders>
            <w:noWrap w:val="0"/>
            <w:vAlign w:val="center"/>
          </w:tcPr>
          <w:p>
            <w:pPr>
              <w:autoSpaceDE/>
              <w:autoSpaceDN/>
              <w:snapToGrid w:val="0"/>
              <w:spacing w:line="400" w:lineRule="exact"/>
              <w:jc w:val="both"/>
              <w:rPr>
                <w:rFonts w:ascii="Times New Roman" w:hAnsi="Times New Roman" w:cs="Times New Roman"/>
                <w:snapToGrid w:val="0"/>
                <w:kern w:val="2"/>
                <w:sz w:val="2"/>
                <w:szCs w:val="2"/>
                <w:lang w:val="en-US" w:bidi="ar-SA"/>
              </w:rPr>
            </w:pPr>
          </w:p>
        </w:tc>
        <w:tc>
          <w:tcPr>
            <w:tcW w:w="1607" w:type="dxa"/>
            <w:tcBorders>
              <w:top w:val="single" w:color="000000" w:sz="8" w:space="0"/>
              <w:left w:val="single" w:color="000000" w:sz="8"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80" w:lineRule="exact"/>
              <w:jc w:val="both"/>
              <w:textAlignment w:val="auto"/>
              <w:rPr>
                <w:rFonts w:hint="eastAsia" w:ascii="Times New Roman" w:hAnsi="Times New Roman" w:eastAsia="宋体" w:cs="Times New Roman"/>
                <w:snapToGrid w:val="0"/>
                <w:kern w:val="2"/>
                <w:sz w:val="21"/>
                <w:szCs w:val="24"/>
                <w:lang w:val="en-US" w:eastAsia="zh-CN" w:bidi="ar-SA"/>
              </w:rPr>
            </w:pPr>
            <w:r>
              <w:rPr>
                <w:rFonts w:hint="eastAsia" w:ascii="Times New Roman" w:hAnsi="Times New Roman" w:eastAsia="Microsoft JhengHei" w:cs="Times New Roman"/>
                <w:b/>
                <w:snapToGrid w:val="0"/>
                <w:kern w:val="2"/>
                <w:sz w:val="21"/>
                <w:szCs w:val="24"/>
                <w:lang w:val="en-US" w:eastAsia="zh-CN" w:bidi="ar-SA"/>
              </w:rPr>
              <w:t>裁量因素</w:t>
            </w:r>
            <w:r>
              <w:rPr>
                <w:rFonts w:hint="eastAsia" w:ascii="Times New Roman" w:hAnsi="Times New Roman" w:eastAsia="Microsoft JhengHei" w:cs="Times New Roman"/>
                <w:bCs/>
                <w:snapToGrid w:val="0"/>
                <w:kern w:val="2"/>
                <w:sz w:val="21"/>
                <w:szCs w:val="24"/>
                <w:lang w:val="en-US" w:eastAsia="zh-CN" w:bidi="ar-SA"/>
              </w:rPr>
              <w:t>（是指在进行裁量时，除裁量规则规定的从轻、减轻、从重情形外，可以考虑的因素）</w:t>
            </w:r>
          </w:p>
        </w:tc>
        <w:tc>
          <w:tcPr>
            <w:tcW w:w="11861" w:type="dxa"/>
            <w:gridSpan w:val="4"/>
            <w:tcBorders>
              <w:top w:val="single" w:color="000000" w:sz="8" w:space="0"/>
              <w:left w:val="single" w:color="auto" w:sz="4" w:space="0"/>
              <w:bottom w:val="single" w:color="auto" w:sz="4" w:space="0"/>
              <w:right w:val="single" w:color="000000" w:sz="8" w:space="0"/>
            </w:tcBorders>
            <w:noWrap w:val="0"/>
            <w:vAlign w:val="center"/>
          </w:tcPr>
          <w:p>
            <w:pPr>
              <w:widowControl w:val="0"/>
              <w:autoSpaceDE w:val="0"/>
              <w:autoSpaceDN w:val="0"/>
              <w:snapToGrid w:val="0"/>
              <w:spacing w:line="280" w:lineRule="exact"/>
              <w:ind w:firstLine="0" w:firstLineChars="0"/>
              <w:jc w:val="both"/>
              <w:rPr>
                <w:rFonts w:hint="default" w:ascii="Times New Roman" w:hAnsi="Times New Roman" w:eastAsia="宋体" w:cs="Times New Roman"/>
                <w:snapToGrid w:val="0"/>
                <w:kern w:val="2"/>
                <w:sz w:val="21"/>
                <w:szCs w:val="24"/>
                <w:lang w:val="en-US" w:eastAsia="zh-CN" w:bidi="ar-SA"/>
              </w:rPr>
            </w:pPr>
            <w:r>
              <w:rPr>
                <w:rFonts w:hint="eastAsia" w:ascii="Times New Roman" w:hAnsi="Times New Roman" w:eastAsia="Microsoft JhengHei" w:cs="Times New Roman"/>
                <w:b/>
                <w:snapToGrid w:val="0"/>
                <w:kern w:val="2"/>
                <w:sz w:val="21"/>
                <w:szCs w:val="24"/>
                <w:lang w:val="en-US" w:eastAsia="zh-CN" w:bidi="ar-SA"/>
              </w:rPr>
              <w:t>从重</w:t>
            </w:r>
            <w:r>
              <w:rPr>
                <w:rFonts w:hint="eastAsia" w:ascii="Times New Roman" w:hAnsi="Times New Roman" w:eastAsia="宋体" w:cs="Times New Roman"/>
                <w:b/>
                <w:snapToGrid w:val="0"/>
                <w:kern w:val="2"/>
                <w:sz w:val="21"/>
                <w:szCs w:val="24"/>
                <w:lang w:val="en-US" w:eastAsia="zh-CN" w:bidi="ar-SA"/>
              </w:rPr>
              <w:t>处罚</w:t>
            </w:r>
            <w:r>
              <w:rPr>
                <w:rFonts w:hint="eastAsia" w:ascii="Times New Roman" w:hAnsi="Times New Roman" w:eastAsia="Microsoft JhengHei" w:cs="Times New Roman"/>
                <w:b/>
                <w:snapToGrid w:val="0"/>
                <w:kern w:val="2"/>
                <w:sz w:val="21"/>
                <w:szCs w:val="24"/>
                <w:lang w:val="en-US" w:eastAsia="zh-CN" w:bidi="ar-SA"/>
              </w:rPr>
              <w:t>考虑因素：</w:t>
            </w:r>
            <w:r>
              <w:rPr>
                <w:rFonts w:hint="eastAsia" w:ascii="Times New Roman" w:hAnsi="Times New Roman" w:eastAsia="宋体" w:cs="Times New Roman"/>
                <w:snapToGrid w:val="0"/>
                <w:kern w:val="2"/>
                <w:sz w:val="21"/>
                <w:szCs w:val="24"/>
                <w:lang w:val="en-US" w:eastAsia="zh-CN" w:bidi="ar-SA"/>
              </w:rPr>
              <w:t>同时存在本条规定3项以上行为或涉及产品数量较大的。</w:t>
            </w:r>
          </w:p>
        </w:tc>
      </w:tr>
    </w:tbl>
    <w:p>
      <w:pPr>
        <w:pStyle w:val="11"/>
        <w:keepNext w:val="0"/>
        <w:keepLines w:val="0"/>
        <w:pageBreakBefore w:val="0"/>
        <w:widowControl w:val="0"/>
        <w:kinsoku/>
        <w:wordWrap/>
        <w:overflowPunct/>
        <w:topLinePunct w:val="0"/>
        <w:autoSpaceDE w:val="0"/>
        <w:autoSpaceDN w:val="0"/>
        <w:bidi w:val="0"/>
        <w:adjustRightInd/>
        <w:snapToGrid/>
        <w:spacing w:line="240" w:lineRule="auto"/>
        <w:ind w:right="0" w:firstLine="421" w:firstLineChars="200"/>
        <w:jc w:val="both"/>
        <w:textAlignment w:val="auto"/>
        <w:rPr>
          <w:rFonts w:hint="eastAsia" w:ascii="Microsoft JhengHei"/>
          <w:b/>
          <w:sz w:val="21"/>
          <w:lang w:val="en-US" w:eastAsia="zh-CN"/>
        </w:rPr>
        <w:sectPr>
          <w:pgSz w:w="16838" w:h="11906" w:orient="landscape"/>
          <w:pgMar w:top="1800" w:right="1440" w:bottom="1800" w:left="1440" w:header="851" w:footer="992" w:gutter="0"/>
          <w:pgNumType w:fmt="decimal"/>
          <w:cols w:space="720" w:num="1"/>
          <w:docGrid w:type="lines" w:linePitch="312" w:charSpace="0"/>
        </w:sectPr>
      </w:pPr>
    </w:p>
    <w:tbl>
      <w:tblPr>
        <w:tblStyle w:val="8"/>
        <w:tblpPr w:leftFromText="180" w:rightFromText="180" w:vertAnchor="page" w:horzAnchor="page" w:tblpX="1343" w:tblpY="1762"/>
        <w:tblOverlap w:val="never"/>
        <w:tblW w:w="505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31"/>
        <w:gridCol w:w="1617"/>
        <w:gridCol w:w="2766"/>
        <w:gridCol w:w="3085"/>
        <w:gridCol w:w="2927"/>
        <w:gridCol w:w="30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trPr>
        <w:tc>
          <w:tcPr>
            <w:tcW w:w="224" w:type="pct"/>
            <w:vMerge w:val="restart"/>
            <w:tcBorders>
              <w:top w:val="single" w:color="auto" w:sz="4" w:space="0"/>
              <w:bottom w:val="nil"/>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eastAsia="宋体"/>
                <w:b/>
                <w:sz w:val="21"/>
                <w:highlight w:val="none"/>
                <w:lang w:val="en-US" w:eastAsia="zh-CN"/>
              </w:rPr>
            </w:pPr>
            <w:r>
              <w:rPr>
                <w:rFonts w:hint="eastAsia"/>
                <w:b/>
                <w:sz w:val="21"/>
                <w:highlight w:val="none"/>
                <w:lang w:val="en-US" w:eastAsia="zh-CN"/>
              </w:rPr>
              <w:t>5</w:t>
            </w:r>
          </w:p>
        </w:tc>
        <w:tc>
          <w:tcPr>
            <w:tcW w:w="573" w:type="pct"/>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eastAsia="宋体"/>
                <w:b/>
                <w:sz w:val="21"/>
                <w:highlight w:val="none"/>
                <w:lang w:eastAsia="zh-CN"/>
              </w:rPr>
            </w:pPr>
            <w:r>
              <w:rPr>
                <w:rFonts w:hint="eastAsia" w:ascii="Microsoft JhengHei"/>
                <w:b/>
                <w:sz w:val="21"/>
                <w:highlight w:val="none"/>
                <w:lang w:eastAsia="zh-CN"/>
              </w:rPr>
              <w:t>裁量条款</w:t>
            </w:r>
          </w:p>
        </w:tc>
        <w:tc>
          <w:tcPr>
            <w:tcW w:w="4202" w:type="pct"/>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hint="eastAsia"/>
                <w:b/>
                <w:bCs/>
                <w:sz w:val="21"/>
                <w:highlight w:val="none"/>
                <w:lang w:val="en-US" w:eastAsia="zh-CN"/>
              </w:rPr>
            </w:pPr>
            <w:r>
              <w:rPr>
                <w:rFonts w:hint="eastAsia" w:ascii="Microsoft JhengHei"/>
                <w:b/>
                <w:sz w:val="21"/>
                <w:highlight w:val="none"/>
                <w:lang w:val="en-US" w:eastAsia="zh-CN"/>
              </w:rPr>
              <w:t>第五条  本条是对《药品不良反应报告和监测管理办法》第五十八条“可以并处五千元以上三万元以下的罚款”裁量基准的规定。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5" w:hRule="atLeast"/>
        </w:trPr>
        <w:tc>
          <w:tcPr>
            <w:tcW w:w="224"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highlight w:val="none"/>
              </w:rPr>
            </w:pPr>
          </w:p>
        </w:tc>
        <w:tc>
          <w:tcPr>
            <w:tcW w:w="573" w:type="pct"/>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eastAsia="宋体"/>
                <w:b/>
                <w:sz w:val="21"/>
                <w:highlight w:val="none"/>
                <w:lang w:val="en-US" w:eastAsia="zh-CN"/>
              </w:rPr>
            </w:pPr>
            <w:r>
              <w:rPr>
                <w:rFonts w:hint="eastAsia" w:ascii="Microsoft JhengHei"/>
                <w:b/>
                <w:sz w:val="21"/>
                <w:highlight w:val="none"/>
                <w:lang w:val="en-US" w:eastAsia="zh-CN"/>
              </w:rPr>
              <w:t>关联法条</w:t>
            </w:r>
          </w:p>
        </w:tc>
        <w:tc>
          <w:tcPr>
            <w:tcW w:w="4202" w:type="pct"/>
            <w:gridSpan w:val="4"/>
            <w:tcBorders>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line="240" w:lineRule="auto"/>
              <w:ind w:right="0" w:firstLine="420" w:firstLineChars="200"/>
              <w:jc w:val="both"/>
              <w:textAlignment w:val="auto"/>
              <w:rPr>
                <w:rFonts w:hint="default"/>
                <w:sz w:val="21"/>
                <w:highlight w:val="none"/>
                <w:lang w:val="en-US" w:eastAsia="zh-CN"/>
              </w:rPr>
            </w:pPr>
            <w:r>
              <w:rPr>
                <w:rFonts w:hint="eastAsia"/>
                <w:sz w:val="21"/>
                <w:highlight w:val="none"/>
                <w:lang w:val="en-US" w:eastAsia="zh-CN"/>
              </w:rPr>
              <w:t xml:space="preserve">《药品不良反应报告和监测管理办法》第五十八条 </w:t>
            </w:r>
            <w:r>
              <w:rPr>
                <w:rFonts w:hint="default"/>
                <w:sz w:val="21"/>
                <w:highlight w:val="none"/>
                <w:lang w:val="en-US" w:eastAsia="zh-CN"/>
              </w:rPr>
              <w:t>药品生产企业有下列情形之一的，由所在地药品监督管理部门给予警告，责令限期改正，可以并处五千元以上三万元以下的罚款：</w:t>
            </w:r>
          </w:p>
          <w:p>
            <w:pPr>
              <w:pStyle w:val="11"/>
              <w:keepNext w:val="0"/>
              <w:keepLines w:val="0"/>
              <w:pageBreakBefore w:val="0"/>
              <w:widowControl w:val="0"/>
              <w:kinsoku/>
              <w:wordWrap/>
              <w:overflowPunct/>
              <w:topLinePunct w:val="0"/>
              <w:autoSpaceDE w:val="0"/>
              <w:autoSpaceDN w:val="0"/>
              <w:bidi w:val="0"/>
              <w:adjustRightInd/>
              <w:snapToGrid/>
              <w:spacing w:line="240" w:lineRule="auto"/>
              <w:ind w:right="0" w:firstLine="420" w:firstLineChars="200"/>
              <w:jc w:val="both"/>
              <w:textAlignment w:val="auto"/>
              <w:rPr>
                <w:rFonts w:hint="default"/>
                <w:sz w:val="21"/>
                <w:highlight w:val="none"/>
                <w:lang w:val="en-US" w:eastAsia="zh-CN"/>
              </w:rPr>
            </w:pPr>
            <w:r>
              <w:rPr>
                <w:rFonts w:hint="default"/>
                <w:sz w:val="21"/>
                <w:highlight w:val="none"/>
                <w:lang w:val="en-US" w:eastAsia="zh-CN"/>
              </w:rPr>
              <w:t>（一）未按照规定建立药品不良反应报告和监测管理制度，或者无专门机构、专职人员负责本单位药品不良反应报告和监测工作的；</w:t>
            </w:r>
          </w:p>
          <w:p>
            <w:pPr>
              <w:pStyle w:val="11"/>
              <w:keepNext w:val="0"/>
              <w:keepLines w:val="0"/>
              <w:pageBreakBefore w:val="0"/>
              <w:widowControl w:val="0"/>
              <w:kinsoku/>
              <w:wordWrap/>
              <w:overflowPunct/>
              <w:topLinePunct w:val="0"/>
              <w:autoSpaceDE w:val="0"/>
              <w:autoSpaceDN w:val="0"/>
              <w:bidi w:val="0"/>
              <w:adjustRightInd/>
              <w:snapToGrid/>
              <w:spacing w:line="240" w:lineRule="auto"/>
              <w:ind w:right="0" w:firstLine="420" w:firstLineChars="200"/>
              <w:jc w:val="both"/>
              <w:textAlignment w:val="auto"/>
              <w:rPr>
                <w:rFonts w:hint="default"/>
                <w:sz w:val="21"/>
                <w:highlight w:val="none"/>
                <w:lang w:val="en-US" w:eastAsia="zh-CN"/>
              </w:rPr>
            </w:pPr>
            <w:r>
              <w:rPr>
                <w:rFonts w:hint="default"/>
                <w:sz w:val="21"/>
                <w:highlight w:val="none"/>
                <w:lang w:val="en-US" w:eastAsia="zh-CN"/>
              </w:rPr>
              <w:t>（二）未建立和保存药品不良反应监测档案的；</w:t>
            </w:r>
          </w:p>
          <w:p>
            <w:pPr>
              <w:pStyle w:val="11"/>
              <w:keepNext w:val="0"/>
              <w:keepLines w:val="0"/>
              <w:pageBreakBefore w:val="0"/>
              <w:widowControl w:val="0"/>
              <w:kinsoku/>
              <w:wordWrap/>
              <w:overflowPunct/>
              <w:topLinePunct w:val="0"/>
              <w:autoSpaceDE w:val="0"/>
              <w:autoSpaceDN w:val="0"/>
              <w:bidi w:val="0"/>
              <w:adjustRightInd/>
              <w:snapToGrid/>
              <w:spacing w:line="240" w:lineRule="auto"/>
              <w:ind w:right="0" w:firstLine="420" w:firstLineChars="200"/>
              <w:jc w:val="both"/>
              <w:textAlignment w:val="auto"/>
              <w:rPr>
                <w:rFonts w:hint="default"/>
                <w:sz w:val="21"/>
                <w:highlight w:val="none"/>
                <w:lang w:val="en-US" w:eastAsia="zh-CN"/>
              </w:rPr>
            </w:pPr>
            <w:r>
              <w:rPr>
                <w:rFonts w:hint="default"/>
                <w:sz w:val="21"/>
                <w:highlight w:val="none"/>
                <w:lang w:val="en-US" w:eastAsia="zh-CN"/>
              </w:rPr>
              <w:t>（三）未按照要求开展药品不良反应或者群体不良事件报告、调查、评价和处理的；</w:t>
            </w:r>
          </w:p>
          <w:p>
            <w:pPr>
              <w:pStyle w:val="11"/>
              <w:keepNext w:val="0"/>
              <w:keepLines w:val="0"/>
              <w:pageBreakBefore w:val="0"/>
              <w:widowControl w:val="0"/>
              <w:kinsoku/>
              <w:wordWrap/>
              <w:overflowPunct/>
              <w:topLinePunct w:val="0"/>
              <w:autoSpaceDE w:val="0"/>
              <w:autoSpaceDN w:val="0"/>
              <w:bidi w:val="0"/>
              <w:adjustRightInd/>
              <w:snapToGrid/>
              <w:spacing w:line="240" w:lineRule="auto"/>
              <w:ind w:right="0" w:firstLine="420" w:firstLineChars="200"/>
              <w:jc w:val="both"/>
              <w:textAlignment w:val="auto"/>
              <w:rPr>
                <w:rFonts w:hint="default"/>
                <w:sz w:val="21"/>
                <w:highlight w:val="none"/>
                <w:lang w:val="en-US" w:eastAsia="zh-CN"/>
              </w:rPr>
            </w:pPr>
            <w:r>
              <w:rPr>
                <w:rFonts w:hint="default"/>
                <w:sz w:val="21"/>
                <w:highlight w:val="none"/>
                <w:lang w:val="en-US" w:eastAsia="zh-CN"/>
              </w:rPr>
              <w:t>（四）未按照要求提交定期安全性更新报告的；</w:t>
            </w:r>
          </w:p>
          <w:p>
            <w:pPr>
              <w:pStyle w:val="11"/>
              <w:keepNext w:val="0"/>
              <w:keepLines w:val="0"/>
              <w:pageBreakBefore w:val="0"/>
              <w:widowControl w:val="0"/>
              <w:kinsoku/>
              <w:wordWrap/>
              <w:overflowPunct/>
              <w:topLinePunct w:val="0"/>
              <w:autoSpaceDE w:val="0"/>
              <w:autoSpaceDN w:val="0"/>
              <w:bidi w:val="0"/>
              <w:adjustRightInd/>
              <w:snapToGrid/>
              <w:spacing w:line="240" w:lineRule="auto"/>
              <w:ind w:right="0" w:firstLine="420" w:firstLineChars="200"/>
              <w:jc w:val="both"/>
              <w:textAlignment w:val="auto"/>
              <w:rPr>
                <w:rFonts w:hint="default"/>
                <w:sz w:val="21"/>
                <w:highlight w:val="none"/>
                <w:lang w:val="en-US" w:eastAsia="zh-CN"/>
              </w:rPr>
            </w:pPr>
            <w:r>
              <w:rPr>
                <w:rFonts w:hint="default"/>
                <w:sz w:val="21"/>
                <w:highlight w:val="none"/>
                <w:lang w:val="en-US" w:eastAsia="zh-CN"/>
              </w:rPr>
              <w:t>（五）未按照要求开展重点监测的；</w:t>
            </w:r>
          </w:p>
          <w:p>
            <w:pPr>
              <w:pStyle w:val="11"/>
              <w:keepNext w:val="0"/>
              <w:keepLines w:val="0"/>
              <w:pageBreakBefore w:val="0"/>
              <w:widowControl w:val="0"/>
              <w:kinsoku/>
              <w:wordWrap/>
              <w:overflowPunct/>
              <w:topLinePunct w:val="0"/>
              <w:autoSpaceDE w:val="0"/>
              <w:autoSpaceDN w:val="0"/>
              <w:bidi w:val="0"/>
              <w:adjustRightInd/>
              <w:snapToGrid/>
              <w:spacing w:line="240" w:lineRule="auto"/>
              <w:ind w:right="0" w:firstLine="420" w:firstLineChars="200"/>
              <w:jc w:val="both"/>
              <w:textAlignment w:val="auto"/>
              <w:rPr>
                <w:rFonts w:hint="default"/>
                <w:sz w:val="21"/>
                <w:highlight w:val="none"/>
                <w:lang w:val="en-US" w:eastAsia="zh-CN"/>
              </w:rPr>
            </w:pPr>
            <w:r>
              <w:rPr>
                <w:rFonts w:hint="default"/>
                <w:sz w:val="21"/>
                <w:highlight w:val="none"/>
                <w:lang w:val="en-US" w:eastAsia="zh-CN"/>
              </w:rPr>
              <w:t>（六）不配合严重药品不良反应或者群体不良事件相关调查工作的；</w:t>
            </w:r>
          </w:p>
          <w:p>
            <w:pPr>
              <w:pStyle w:val="11"/>
              <w:keepNext w:val="0"/>
              <w:keepLines w:val="0"/>
              <w:pageBreakBefore w:val="0"/>
              <w:widowControl w:val="0"/>
              <w:kinsoku/>
              <w:wordWrap/>
              <w:overflowPunct/>
              <w:topLinePunct w:val="0"/>
              <w:autoSpaceDE w:val="0"/>
              <w:autoSpaceDN w:val="0"/>
              <w:bidi w:val="0"/>
              <w:adjustRightInd/>
              <w:snapToGrid/>
              <w:spacing w:line="240" w:lineRule="auto"/>
              <w:ind w:right="0" w:firstLine="420" w:firstLineChars="200"/>
              <w:jc w:val="both"/>
              <w:textAlignment w:val="auto"/>
              <w:rPr>
                <w:rFonts w:hint="default"/>
                <w:sz w:val="21"/>
                <w:highlight w:val="none"/>
                <w:lang w:val="en-US" w:eastAsia="zh-CN"/>
              </w:rPr>
            </w:pPr>
            <w:r>
              <w:rPr>
                <w:rFonts w:hint="default"/>
                <w:sz w:val="21"/>
                <w:highlight w:val="none"/>
                <w:lang w:val="en-US" w:eastAsia="zh-CN"/>
              </w:rPr>
              <w:t>（七）其他违反本办法规定的。</w:t>
            </w:r>
          </w:p>
          <w:p>
            <w:pPr>
              <w:pStyle w:val="11"/>
              <w:keepNext w:val="0"/>
              <w:keepLines w:val="0"/>
              <w:pageBreakBefore w:val="0"/>
              <w:widowControl w:val="0"/>
              <w:kinsoku/>
              <w:wordWrap/>
              <w:overflowPunct/>
              <w:topLinePunct w:val="0"/>
              <w:autoSpaceDE w:val="0"/>
              <w:autoSpaceDN w:val="0"/>
              <w:bidi w:val="0"/>
              <w:adjustRightInd/>
              <w:snapToGrid/>
              <w:spacing w:line="240" w:lineRule="auto"/>
              <w:ind w:right="0" w:firstLine="420" w:firstLineChars="200"/>
              <w:jc w:val="both"/>
              <w:textAlignment w:val="auto"/>
              <w:rPr>
                <w:rFonts w:hint="eastAsia"/>
                <w:sz w:val="21"/>
                <w:highlight w:val="none"/>
              </w:rPr>
            </w:pPr>
            <w:r>
              <w:rPr>
                <w:rFonts w:hint="default"/>
                <w:sz w:val="21"/>
                <w:highlight w:val="none"/>
                <w:lang w:val="en-US" w:eastAsia="zh-CN"/>
              </w:rPr>
              <w:t>药品生产企业有前款规定第（四）项、第（五）项情形之一的，按照《药品注册管理办法》的规定对相应药品不予再注册。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24"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highlight w:val="none"/>
              </w:rPr>
            </w:pPr>
          </w:p>
        </w:tc>
        <w:tc>
          <w:tcPr>
            <w:tcW w:w="573"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highlight w:val="none"/>
                <w:lang w:val="en-US" w:eastAsia="zh-CN"/>
              </w:rPr>
            </w:pPr>
            <w:r>
              <w:rPr>
                <w:rFonts w:hint="eastAsia" w:ascii="Microsoft JhengHei"/>
                <w:b/>
                <w:sz w:val="21"/>
                <w:highlight w:val="none"/>
                <w:lang w:val="en-US" w:eastAsia="zh-CN"/>
              </w:rPr>
              <w:t>裁量等级</w:t>
            </w:r>
          </w:p>
        </w:tc>
        <w:tc>
          <w:tcPr>
            <w:tcW w:w="980"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kinsoku/>
              <w:wordWrap/>
              <w:overflowPunct/>
              <w:topLinePunct w:val="0"/>
              <w:autoSpaceDE/>
              <w:autoSpaceDN/>
              <w:bidi w:val="0"/>
              <w:adjustRightInd/>
              <w:snapToGrid/>
              <w:spacing w:before="157" w:beforeLines="50" w:after="157" w:afterLines="50" w:line="240" w:lineRule="auto"/>
              <w:ind w:left="0" w:right="0"/>
              <w:jc w:val="center"/>
              <w:textAlignment w:val="auto"/>
              <w:rPr>
                <w:rFonts w:hint="eastAsia" w:ascii="Microsoft JhengHei"/>
                <w:b/>
                <w:sz w:val="21"/>
                <w:highlight w:val="none"/>
                <w:lang w:eastAsia="zh-CN"/>
              </w:rPr>
            </w:pPr>
            <w:r>
              <w:rPr>
                <w:rFonts w:hint="eastAsia" w:ascii="Microsoft JhengHei"/>
                <w:b/>
                <w:sz w:val="21"/>
                <w:highlight w:val="none"/>
                <w:lang w:eastAsia="zh-CN"/>
              </w:rPr>
              <w:t>减轻处罚幅度</w:t>
            </w:r>
          </w:p>
        </w:tc>
        <w:tc>
          <w:tcPr>
            <w:tcW w:w="1093"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kinsoku/>
              <w:wordWrap/>
              <w:overflowPunct/>
              <w:topLinePunct w:val="0"/>
              <w:autoSpaceDE/>
              <w:autoSpaceDN/>
              <w:bidi w:val="0"/>
              <w:adjustRightInd/>
              <w:snapToGrid/>
              <w:spacing w:before="157" w:beforeLines="50" w:after="157" w:afterLines="50" w:line="240" w:lineRule="auto"/>
              <w:ind w:left="0" w:right="0"/>
              <w:jc w:val="center"/>
              <w:textAlignment w:val="auto"/>
              <w:rPr>
                <w:rFonts w:hint="eastAsia" w:ascii="Microsoft JhengHei"/>
                <w:b/>
                <w:sz w:val="21"/>
                <w:highlight w:val="none"/>
                <w:lang w:eastAsia="zh-CN"/>
              </w:rPr>
            </w:pPr>
            <w:r>
              <w:rPr>
                <w:rFonts w:hint="eastAsia" w:ascii="Microsoft JhengHei"/>
                <w:b/>
                <w:sz w:val="21"/>
                <w:highlight w:val="none"/>
                <w:lang w:eastAsia="zh-CN"/>
              </w:rPr>
              <w:t>从轻处罚幅度</w:t>
            </w:r>
          </w:p>
        </w:tc>
        <w:tc>
          <w:tcPr>
            <w:tcW w:w="1037"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kinsoku/>
              <w:wordWrap/>
              <w:overflowPunct/>
              <w:topLinePunct w:val="0"/>
              <w:autoSpaceDE/>
              <w:autoSpaceDN/>
              <w:bidi w:val="0"/>
              <w:adjustRightInd/>
              <w:snapToGrid/>
              <w:spacing w:before="157" w:beforeLines="50" w:after="157" w:afterLines="50" w:line="240" w:lineRule="auto"/>
              <w:ind w:left="0" w:right="0"/>
              <w:jc w:val="center"/>
              <w:textAlignment w:val="auto"/>
              <w:rPr>
                <w:rFonts w:hint="eastAsia" w:ascii="Microsoft JhengHei"/>
                <w:b/>
                <w:sz w:val="21"/>
                <w:highlight w:val="none"/>
                <w:lang w:eastAsia="zh-CN"/>
              </w:rPr>
            </w:pPr>
            <w:r>
              <w:rPr>
                <w:rFonts w:hint="eastAsia" w:ascii="Microsoft JhengHei"/>
                <w:b/>
                <w:sz w:val="21"/>
                <w:highlight w:val="none"/>
                <w:lang w:eastAsia="zh-CN"/>
              </w:rPr>
              <w:t>一般处罚幅度</w:t>
            </w:r>
          </w:p>
        </w:tc>
        <w:tc>
          <w:tcPr>
            <w:tcW w:w="1089"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kinsoku/>
              <w:wordWrap/>
              <w:overflowPunct/>
              <w:topLinePunct w:val="0"/>
              <w:autoSpaceDE/>
              <w:autoSpaceDN/>
              <w:bidi w:val="0"/>
              <w:adjustRightInd/>
              <w:snapToGrid/>
              <w:spacing w:before="157" w:beforeLines="50" w:after="157" w:afterLines="50" w:line="240" w:lineRule="auto"/>
              <w:ind w:left="0" w:right="0"/>
              <w:jc w:val="center"/>
              <w:textAlignment w:val="auto"/>
              <w:rPr>
                <w:rFonts w:hint="eastAsia" w:ascii="Microsoft JhengHei"/>
                <w:b/>
                <w:sz w:val="21"/>
                <w:highlight w:val="none"/>
                <w:lang w:eastAsia="zh-CN"/>
              </w:rPr>
            </w:pPr>
            <w:r>
              <w:rPr>
                <w:rFonts w:hint="eastAsia" w:ascii="Microsoft JhengHei"/>
                <w:b/>
                <w:sz w:val="21"/>
                <w:highlight w:val="none"/>
                <w:lang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hRule="atLeast"/>
        </w:trPr>
        <w:tc>
          <w:tcPr>
            <w:tcW w:w="224"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highlight w:val="none"/>
              </w:rPr>
            </w:pPr>
          </w:p>
        </w:tc>
        <w:tc>
          <w:tcPr>
            <w:tcW w:w="573"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highlight w:val="none"/>
                <w:lang w:val="en-US" w:eastAsia="zh-CN"/>
              </w:rPr>
            </w:pPr>
            <w:r>
              <w:rPr>
                <w:rFonts w:hint="eastAsia" w:ascii="Microsoft JhengHei"/>
                <w:b/>
                <w:sz w:val="21"/>
                <w:highlight w:val="none"/>
                <w:lang w:val="en-US" w:eastAsia="zh-CN"/>
              </w:rPr>
              <w:t>裁量基准</w:t>
            </w:r>
          </w:p>
        </w:tc>
        <w:tc>
          <w:tcPr>
            <w:tcW w:w="980"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left="0" w:right="0"/>
              <w:jc w:val="both"/>
              <w:textAlignment w:val="auto"/>
              <w:rPr>
                <w:rFonts w:hint="default"/>
                <w:sz w:val="21"/>
                <w:highlight w:val="none"/>
                <w:lang w:val="en-US" w:eastAsia="zh-CN"/>
              </w:rPr>
            </w:pPr>
            <w:r>
              <w:rPr>
                <w:rFonts w:hint="eastAsia"/>
                <w:sz w:val="21"/>
                <w:highlight w:val="none"/>
                <w:lang w:val="en-US" w:eastAsia="zh-CN"/>
              </w:rPr>
              <w:t>符合裁量规则减轻行政处罚，可以处0.5万元以下的罚款。</w:t>
            </w:r>
          </w:p>
        </w:tc>
        <w:tc>
          <w:tcPr>
            <w:tcW w:w="1093"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left="0" w:right="0"/>
              <w:jc w:val="both"/>
              <w:textAlignment w:val="auto"/>
              <w:rPr>
                <w:rFonts w:hint="eastAsia"/>
                <w:sz w:val="21"/>
                <w:highlight w:val="none"/>
                <w:lang w:val="en-US" w:eastAsia="zh-CN"/>
              </w:rPr>
            </w:pPr>
            <w:r>
              <w:rPr>
                <w:rFonts w:hint="eastAsia"/>
                <w:sz w:val="21"/>
                <w:highlight w:val="none"/>
                <w:lang w:val="en-US" w:eastAsia="zh-CN"/>
              </w:rPr>
              <w:t>从轻行政处罚，可以处0.5万元至1.25万元的罚款。</w:t>
            </w:r>
          </w:p>
        </w:tc>
        <w:tc>
          <w:tcPr>
            <w:tcW w:w="1037"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left="0" w:right="0"/>
              <w:jc w:val="both"/>
              <w:textAlignment w:val="auto"/>
              <w:rPr>
                <w:rFonts w:hint="eastAsia"/>
                <w:sz w:val="21"/>
                <w:highlight w:val="none"/>
                <w:lang w:val="en-US" w:eastAsia="zh-CN"/>
              </w:rPr>
            </w:pPr>
            <w:r>
              <w:rPr>
                <w:rFonts w:hint="eastAsia"/>
                <w:sz w:val="21"/>
                <w:highlight w:val="none"/>
                <w:lang w:val="en-US" w:eastAsia="zh-CN"/>
              </w:rPr>
              <w:t>一般行政处罚，可以处1.25万元以上2.25万元以下的罚款。</w:t>
            </w:r>
          </w:p>
        </w:tc>
        <w:tc>
          <w:tcPr>
            <w:tcW w:w="1089"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left="0" w:right="0"/>
              <w:jc w:val="both"/>
              <w:textAlignment w:val="auto"/>
              <w:rPr>
                <w:rFonts w:hint="eastAsia"/>
                <w:sz w:val="21"/>
                <w:highlight w:val="none"/>
                <w:lang w:val="en-US" w:eastAsia="zh-CN"/>
              </w:rPr>
            </w:pPr>
            <w:r>
              <w:rPr>
                <w:rFonts w:hint="eastAsia"/>
                <w:sz w:val="21"/>
                <w:highlight w:val="none"/>
                <w:lang w:val="en-US" w:eastAsia="zh-CN"/>
              </w:rPr>
              <w:t>从重行政处罚，可以处2.25万元至3万元的罚款。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1" w:hRule="atLeast"/>
        </w:trPr>
        <w:tc>
          <w:tcPr>
            <w:tcW w:w="224"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highlight w:val="none"/>
              </w:rPr>
            </w:pPr>
          </w:p>
        </w:tc>
        <w:tc>
          <w:tcPr>
            <w:tcW w:w="573" w:type="pct"/>
            <w:tcBorders>
              <w:top w:val="single" w:color="000000" w:sz="8" w:space="0"/>
              <w:left w:val="single" w:color="000000" w:sz="8" w:space="0"/>
              <w:right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2" w:line="240" w:lineRule="exact"/>
              <w:ind w:left="17" w:leftChars="0" w:right="11" w:rightChars="0"/>
              <w:jc w:val="both"/>
              <w:textAlignment w:val="auto"/>
              <w:rPr>
                <w:rFonts w:hint="eastAsia" w:eastAsia="宋体"/>
                <w:highlight w:val="none"/>
                <w:lang w:val="en-US" w:eastAsia="zh-CN"/>
              </w:rPr>
            </w:pPr>
            <w:r>
              <w:rPr>
                <w:rFonts w:hint="eastAsia" w:ascii="Microsoft JhengHei" w:eastAsia="Microsoft JhengHei"/>
                <w:b/>
                <w:sz w:val="21"/>
                <w:highlight w:val="none"/>
                <w:lang w:val="en-US" w:eastAsia="zh-CN"/>
              </w:rPr>
              <w:t>裁量因素</w:t>
            </w:r>
            <w:r>
              <w:rPr>
                <w:rFonts w:hint="eastAsia" w:ascii="Microsoft JhengHei" w:eastAsia="Microsoft JhengHei"/>
                <w:b w:val="0"/>
                <w:bCs/>
                <w:sz w:val="21"/>
                <w:highlight w:val="none"/>
                <w:lang w:val="en-US" w:eastAsia="zh-CN"/>
              </w:rPr>
              <w:t>（是指在进行裁量时，除裁量规则规定的从轻、减轻、从重情形外，可以考虑的因素）</w:t>
            </w:r>
          </w:p>
        </w:tc>
        <w:tc>
          <w:tcPr>
            <w:tcW w:w="4202" w:type="pct"/>
            <w:gridSpan w:val="4"/>
            <w:tcBorders>
              <w:top w:val="single" w:color="000000" w:sz="8" w:space="0"/>
              <w:left w:val="single" w:color="auto" w:sz="4" w:space="0"/>
              <w:bottom w:val="single" w:color="auto" w:sz="4" w:space="0"/>
              <w:right w:val="single" w:color="000000" w:sz="8" w:space="0"/>
            </w:tcBorders>
            <w:noWrap w:val="0"/>
            <w:vAlign w:val="center"/>
          </w:tcPr>
          <w:p>
            <w:pPr>
              <w:keepNext w:val="0"/>
              <w:keepLines w:val="0"/>
              <w:pageBreakBefore w:val="0"/>
              <w:widowControl/>
              <w:numPr>
                <w:ilvl w:val="0"/>
                <w:numId w:val="0"/>
              </w:numPr>
              <w:suppressLineNumbers w:val="0"/>
              <w:kinsoku/>
              <w:wordWrap/>
              <w:overflowPunct/>
              <w:topLinePunct w:val="0"/>
              <w:bidi w:val="0"/>
              <w:adjustRightInd/>
              <w:spacing w:line="240" w:lineRule="auto"/>
              <w:jc w:val="both"/>
              <w:rPr>
                <w:rFonts w:hint="default" w:cs="宋体"/>
                <w:b w:val="0"/>
                <w:bCs w:val="0"/>
                <w:color w:val="000000"/>
                <w:kern w:val="0"/>
                <w:sz w:val="21"/>
                <w:szCs w:val="22"/>
                <w:highlight w:val="none"/>
                <w:lang w:val="en-US" w:eastAsia="zh-CN" w:bidi="zh-CN"/>
              </w:rPr>
            </w:pPr>
            <w:r>
              <w:rPr>
                <w:rFonts w:hint="eastAsia" w:ascii="宋体" w:hAnsi="宋体" w:eastAsia="宋体" w:cs="宋体"/>
                <w:b/>
                <w:bCs/>
                <w:color w:val="000000"/>
                <w:kern w:val="0"/>
                <w:sz w:val="21"/>
                <w:szCs w:val="21"/>
                <w:highlight w:val="none"/>
                <w:lang w:val="en-US" w:eastAsia="zh-CN" w:bidi="ar"/>
              </w:rPr>
              <w:t>从轻处罚考虑因素：</w:t>
            </w:r>
            <w:r>
              <w:rPr>
                <w:rFonts w:hint="default" w:cs="宋体"/>
                <w:b w:val="0"/>
                <w:bCs w:val="0"/>
                <w:color w:val="000000"/>
                <w:kern w:val="0"/>
                <w:sz w:val="21"/>
                <w:szCs w:val="22"/>
                <w:highlight w:val="none"/>
                <w:lang w:val="en-US" w:eastAsia="zh-CN" w:bidi="zh-CN"/>
              </w:rPr>
              <w:t>有《药品不良反应报告和监测管理办法》第五十八条所列1项违法情形的，但该条第一款第六项除外。</w:t>
            </w:r>
          </w:p>
          <w:p>
            <w:pPr>
              <w:pStyle w:val="11"/>
              <w:keepNext w:val="0"/>
              <w:keepLines w:val="0"/>
              <w:pageBreakBefore w:val="0"/>
              <w:kinsoku/>
              <w:wordWrap/>
              <w:overflowPunct/>
              <w:topLinePunct w:val="0"/>
              <w:bidi w:val="0"/>
              <w:adjustRightInd/>
              <w:spacing w:before="2" w:line="240" w:lineRule="auto"/>
              <w:ind w:right="11"/>
              <w:jc w:val="both"/>
              <w:rPr>
                <w:rFonts w:hint="eastAsia" w:cs="宋体"/>
                <w:b w:val="0"/>
                <w:bCs w:val="0"/>
                <w:color w:val="000000"/>
                <w:kern w:val="0"/>
                <w:sz w:val="20"/>
                <w:szCs w:val="20"/>
                <w:highlight w:val="none"/>
                <w:lang w:val="en-US" w:eastAsia="zh-CN" w:bidi="ar"/>
              </w:rPr>
            </w:pPr>
            <w:r>
              <w:rPr>
                <w:rFonts w:hint="eastAsia" w:ascii="宋体" w:hAnsi="宋体" w:eastAsia="宋体" w:cs="宋体"/>
                <w:b/>
                <w:bCs/>
                <w:color w:val="000000"/>
                <w:kern w:val="0"/>
                <w:sz w:val="21"/>
                <w:szCs w:val="21"/>
                <w:highlight w:val="none"/>
                <w:lang w:val="en-US" w:eastAsia="zh-CN" w:bidi="ar"/>
              </w:rPr>
              <w:t>从重处罚考虑因素：</w:t>
            </w:r>
            <w:r>
              <w:rPr>
                <w:rFonts w:hint="default" w:cs="宋体"/>
                <w:b w:val="0"/>
                <w:bCs w:val="0"/>
                <w:color w:val="000000"/>
                <w:kern w:val="0"/>
                <w:sz w:val="21"/>
                <w:szCs w:val="22"/>
                <w:highlight w:val="none"/>
                <w:lang w:val="en-US" w:eastAsia="zh-CN" w:bidi="zh-CN"/>
              </w:rPr>
              <w:t>有《药品不良反应报告和监测管理办法》第五十八条所列3项以上情形的</w:t>
            </w:r>
            <w:r>
              <w:rPr>
                <w:rFonts w:hint="eastAsia" w:cs="宋体"/>
                <w:b w:val="0"/>
                <w:bCs w:val="0"/>
                <w:color w:val="000000"/>
                <w:kern w:val="0"/>
                <w:sz w:val="21"/>
                <w:szCs w:val="22"/>
                <w:highlight w:val="none"/>
                <w:lang w:val="en-US" w:eastAsia="zh-CN" w:bidi="zh-CN"/>
              </w:rPr>
              <w:t>。</w:t>
            </w:r>
          </w:p>
        </w:tc>
      </w:tr>
    </w:tbl>
    <w:p>
      <w:pPr>
        <w:pStyle w:val="11"/>
        <w:keepNext w:val="0"/>
        <w:keepLines w:val="0"/>
        <w:pageBreakBefore w:val="0"/>
        <w:widowControl w:val="0"/>
        <w:kinsoku/>
        <w:wordWrap/>
        <w:overflowPunct/>
        <w:topLinePunct w:val="0"/>
        <w:autoSpaceDE w:val="0"/>
        <w:autoSpaceDN w:val="0"/>
        <w:bidi w:val="0"/>
        <w:adjustRightInd/>
        <w:snapToGrid/>
        <w:spacing w:line="240" w:lineRule="auto"/>
        <w:ind w:right="0" w:firstLine="421" w:firstLineChars="200"/>
        <w:jc w:val="both"/>
        <w:textAlignment w:val="auto"/>
        <w:rPr>
          <w:rFonts w:hint="eastAsia" w:ascii="Microsoft JhengHei"/>
          <w:b/>
          <w:sz w:val="21"/>
          <w:lang w:val="en-US" w:eastAsia="zh-CN"/>
        </w:rPr>
      </w:pPr>
    </w:p>
    <w:tbl>
      <w:tblPr>
        <w:tblStyle w:val="8"/>
        <w:tblpPr w:leftFromText="180" w:rightFromText="180" w:vertAnchor="page" w:horzAnchor="page" w:tblpX="1534" w:tblpY="2293"/>
        <w:tblOverlap w:val="never"/>
        <w:tblW w:w="505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40"/>
        <w:gridCol w:w="1577"/>
        <w:gridCol w:w="2616"/>
        <w:gridCol w:w="3083"/>
        <w:gridCol w:w="2947"/>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27" w:type="pct"/>
            <w:vMerge w:val="restart"/>
            <w:tcBorders>
              <w:top w:val="single" w:color="auto" w:sz="4" w:space="0"/>
              <w:bottom w:val="nil"/>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ind w:left="14"/>
              <w:jc w:val="center"/>
              <w:rPr>
                <w:rFonts w:hint="default" w:eastAsia="宋体"/>
                <w:b/>
                <w:sz w:val="21"/>
                <w:lang w:val="en-US" w:eastAsia="zh-CN"/>
              </w:rPr>
            </w:pPr>
            <w:r>
              <w:rPr>
                <w:rFonts w:hint="eastAsia"/>
                <w:b/>
                <w:sz w:val="21"/>
                <w:lang w:val="en-US" w:eastAsia="zh-CN"/>
              </w:rPr>
              <w:t>6</w:t>
            </w:r>
          </w:p>
        </w:tc>
        <w:tc>
          <w:tcPr>
            <w:tcW w:w="558" w:type="pct"/>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eastAsia="宋体"/>
                <w:b/>
                <w:sz w:val="21"/>
                <w:lang w:eastAsia="zh-CN"/>
              </w:rPr>
            </w:pPr>
            <w:r>
              <w:rPr>
                <w:rFonts w:hint="eastAsia" w:ascii="Microsoft JhengHei"/>
                <w:b/>
                <w:sz w:val="21"/>
                <w:lang w:eastAsia="zh-CN"/>
              </w:rPr>
              <w:t>裁量条款</w:t>
            </w:r>
          </w:p>
        </w:tc>
        <w:tc>
          <w:tcPr>
            <w:tcW w:w="4214" w:type="pct"/>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ascii="Microsoft JhengHei"/>
                <w:b/>
                <w:sz w:val="21"/>
                <w:lang w:val="en-US"/>
              </w:rPr>
            </w:pPr>
            <w:r>
              <w:rPr>
                <w:rFonts w:hint="eastAsia" w:ascii="Microsoft JhengHei"/>
                <w:b/>
                <w:sz w:val="21"/>
                <w:lang w:val="en-US" w:eastAsia="zh-CN"/>
              </w:rPr>
              <w:t>第六条  本条是对《药品不良反应报告和监测管理办法》第五十九条“处三万元以下的罚款”裁量基准的规定。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27"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58" w:type="pct"/>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eastAsia="宋体"/>
                <w:b/>
                <w:sz w:val="21"/>
                <w:lang w:val="en-US" w:eastAsia="zh-CN"/>
              </w:rPr>
            </w:pPr>
            <w:r>
              <w:rPr>
                <w:rFonts w:hint="eastAsia" w:ascii="Microsoft JhengHei"/>
                <w:b/>
                <w:sz w:val="21"/>
                <w:lang w:val="en-US" w:eastAsia="zh-CN"/>
              </w:rPr>
              <w:t>关联法条</w:t>
            </w:r>
          </w:p>
        </w:tc>
        <w:tc>
          <w:tcPr>
            <w:tcW w:w="4214" w:type="pct"/>
            <w:gridSpan w:val="4"/>
            <w:tcBorders>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default"/>
                <w:sz w:val="21"/>
                <w:lang w:val="en-US" w:eastAsia="zh-CN"/>
              </w:rPr>
            </w:pPr>
            <w:r>
              <w:rPr>
                <w:rFonts w:hint="eastAsia"/>
                <w:sz w:val="21"/>
                <w:lang w:val="en-US" w:eastAsia="zh-CN"/>
              </w:rPr>
              <w:t xml:space="preserve">《药品不良反应报告和监测管理办法》第五十九条 </w:t>
            </w:r>
            <w:r>
              <w:rPr>
                <w:rFonts w:hint="default"/>
                <w:sz w:val="21"/>
                <w:lang w:val="en-US" w:eastAsia="zh-CN"/>
              </w:rPr>
              <w:t>药品经营企业有下列情形之一的，由所在地药品监督管理部门给予警告，责令限期改正；逾期不改的，处三万元以下的罚款：</w:t>
            </w:r>
          </w:p>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default"/>
                <w:sz w:val="21"/>
                <w:lang w:val="en-US" w:eastAsia="zh-CN"/>
              </w:rPr>
            </w:pPr>
            <w:r>
              <w:rPr>
                <w:rFonts w:hint="default"/>
                <w:sz w:val="21"/>
                <w:lang w:val="en-US" w:eastAsia="zh-CN"/>
              </w:rPr>
              <w:t>（一）无专职或者兼职人员负责本单位药品不良反应监测工作的；</w:t>
            </w:r>
          </w:p>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default"/>
                <w:sz w:val="21"/>
                <w:lang w:val="en-US" w:eastAsia="zh-CN"/>
              </w:rPr>
            </w:pPr>
            <w:r>
              <w:rPr>
                <w:rFonts w:hint="default"/>
                <w:sz w:val="21"/>
                <w:lang w:val="en-US" w:eastAsia="zh-CN"/>
              </w:rPr>
              <w:t>（二）未按照要求开展药品不良反应或者群体不良事件报告、调查、评价和处理的；</w:t>
            </w:r>
          </w:p>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eastAsia"/>
                <w:sz w:val="21"/>
              </w:rPr>
            </w:pPr>
            <w:r>
              <w:rPr>
                <w:rFonts w:hint="default"/>
                <w:sz w:val="21"/>
                <w:lang w:val="en-US" w:eastAsia="zh-CN"/>
              </w:rPr>
              <w:t>（三）不配合严重药品不良反应或者群体不良事件相关调查工作的。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27"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58"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eastAsia="zh-CN"/>
              </w:rPr>
            </w:pPr>
            <w:r>
              <w:rPr>
                <w:rFonts w:hint="eastAsia" w:ascii="Microsoft JhengHei"/>
                <w:b/>
                <w:sz w:val="21"/>
                <w:lang w:eastAsia="zh-CN"/>
              </w:rPr>
              <w:t>裁量等级</w:t>
            </w:r>
          </w:p>
        </w:tc>
        <w:tc>
          <w:tcPr>
            <w:tcW w:w="926"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eastAsia="zh-CN"/>
              </w:rPr>
            </w:pPr>
            <w:r>
              <w:rPr>
                <w:rFonts w:hint="eastAsia" w:ascii="Microsoft JhengHei"/>
                <w:b/>
                <w:sz w:val="21"/>
                <w:lang w:eastAsia="zh-CN"/>
              </w:rPr>
              <w:t>减轻处罚幅度</w:t>
            </w:r>
          </w:p>
        </w:tc>
        <w:tc>
          <w:tcPr>
            <w:tcW w:w="1091"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eastAsia="zh-CN"/>
              </w:rPr>
            </w:pPr>
            <w:r>
              <w:rPr>
                <w:rFonts w:hint="eastAsia" w:ascii="Microsoft JhengHei"/>
                <w:b/>
                <w:sz w:val="21"/>
                <w:lang w:eastAsia="zh-CN"/>
              </w:rPr>
              <w:t>从轻处罚幅度</w:t>
            </w:r>
          </w:p>
        </w:tc>
        <w:tc>
          <w:tcPr>
            <w:tcW w:w="1043"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eastAsia="zh-CN"/>
              </w:rPr>
            </w:pPr>
            <w:r>
              <w:rPr>
                <w:rFonts w:hint="eastAsia" w:ascii="Microsoft JhengHei"/>
                <w:b/>
                <w:sz w:val="21"/>
                <w:lang w:eastAsia="zh-CN"/>
              </w:rPr>
              <w:t>一般处罚幅度</w:t>
            </w:r>
          </w:p>
        </w:tc>
        <w:tc>
          <w:tcPr>
            <w:tcW w:w="1153"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eastAsia="zh-CN"/>
              </w:rPr>
            </w:pPr>
            <w:r>
              <w:rPr>
                <w:rFonts w:hint="eastAsia" w:ascii="Microsoft JhengHei"/>
                <w:b/>
                <w:sz w:val="21"/>
                <w:lang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27"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58"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ascii="Microsoft JhengHei" w:eastAsia="Microsoft JhengHei"/>
                <w:b/>
                <w:sz w:val="21"/>
              </w:rPr>
            </w:pPr>
            <w:r>
              <w:rPr>
                <w:rFonts w:hint="eastAsia" w:ascii="Microsoft JhengHei"/>
                <w:b/>
                <w:sz w:val="21"/>
                <w:lang w:eastAsia="zh-CN"/>
              </w:rPr>
              <w:t>裁量基准</w:t>
            </w:r>
          </w:p>
        </w:tc>
        <w:tc>
          <w:tcPr>
            <w:tcW w:w="926"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p>
        </w:tc>
        <w:tc>
          <w:tcPr>
            <w:tcW w:w="1091"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从轻行政处罚，处0.3万元至0.9万元的罚款。</w:t>
            </w:r>
          </w:p>
        </w:tc>
        <w:tc>
          <w:tcPr>
            <w:tcW w:w="1043"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一般行政处罚，处0.9万元以上2.1万元以下的罚款。</w:t>
            </w:r>
          </w:p>
        </w:tc>
        <w:tc>
          <w:tcPr>
            <w:tcW w:w="1153"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从重行政处罚，处2.1万元至3万元的罚款。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227"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58" w:type="pct"/>
            <w:tcBorders>
              <w:top w:val="single" w:color="000000" w:sz="8" w:space="0"/>
              <w:left w:val="single" w:color="000000" w:sz="8" w:space="0"/>
              <w:bottom w:val="single" w:color="000000" w:sz="8" w:space="0"/>
              <w:right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2" w:line="240" w:lineRule="exact"/>
              <w:ind w:left="17" w:leftChars="0" w:right="11" w:rightChars="0"/>
              <w:jc w:val="both"/>
              <w:textAlignment w:val="auto"/>
              <w:rPr>
                <w:rFonts w:hint="eastAsia" w:eastAsia="宋体"/>
                <w:lang w:val="en-US" w:eastAsia="zh-CN"/>
              </w:rPr>
            </w:pPr>
            <w:r>
              <w:rPr>
                <w:rFonts w:hint="eastAsia" w:ascii="Microsoft JhengHei" w:eastAsia="Microsoft JhengHei"/>
                <w:b/>
                <w:sz w:val="21"/>
                <w:lang w:val="en-US" w:eastAsia="zh-CN"/>
              </w:rPr>
              <w:t>裁量因素</w:t>
            </w:r>
            <w:r>
              <w:rPr>
                <w:rFonts w:hint="eastAsia" w:ascii="Microsoft JhengHei" w:eastAsia="Microsoft JhengHei"/>
                <w:b w:val="0"/>
                <w:bCs/>
                <w:sz w:val="21"/>
                <w:lang w:val="en-US" w:eastAsia="zh-CN"/>
              </w:rPr>
              <w:t>（是指在进行裁量时，除裁量规则规定的从轻、减轻、从重情形外，可以考虑的因素）</w:t>
            </w:r>
          </w:p>
        </w:tc>
        <w:tc>
          <w:tcPr>
            <w:tcW w:w="4214" w:type="pct"/>
            <w:gridSpan w:val="4"/>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numPr>
                <w:ilvl w:val="0"/>
                <w:numId w:val="0"/>
              </w:numPr>
              <w:kinsoku/>
              <w:wordWrap/>
              <w:overflowPunct/>
              <w:topLinePunct w:val="0"/>
              <w:bidi w:val="0"/>
              <w:adjustRightInd/>
              <w:spacing w:line="240" w:lineRule="auto"/>
              <w:jc w:val="both"/>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从重处罚考虑因素：</w:t>
            </w:r>
          </w:p>
          <w:p>
            <w:pPr>
              <w:pStyle w:val="11"/>
              <w:keepNext w:val="0"/>
              <w:keepLines w:val="0"/>
              <w:pageBreakBefore w:val="0"/>
              <w:kinsoku/>
              <w:wordWrap/>
              <w:overflowPunct/>
              <w:topLinePunct w:val="0"/>
              <w:bidi w:val="0"/>
              <w:adjustRightInd/>
              <w:spacing w:before="2" w:line="240" w:lineRule="auto"/>
              <w:ind w:right="11"/>
              <w:jc w:val="both"/>
              <w:rPr>
                <w:rFonts w:hint="default" w:cs="宋体"/>
                <w:b w:val="0"/>
                <w:bCs w:val="0"/>
                <w:color w:val="000000"/>
                <w:kern w:val="0"/>
                <w:sz w:val="21"/>
                <w:szCs w:val="22"/>
                <w:lang w:val="en-US" w:eastAsia="zh-CN" w:bidi="zh-CN"/>
              </w:rPr>
            </w:pPr>
            <w:r>
              <w:rPr>
                <w:rFonts w:hint="default" w:cs="宋体"/>
                <w:b w:val="0"/>
                <w:bCs w:val="0"/>
                <w:color w:val="000000"/>
                <w:kern w:val="0"/>
                <w:sz w:val="21"/>
                <w:szCs w:val="22"/>
                <w:lang w:val="en-US" w:eastAsia="zh-CN" w:bidi="zh-CN"/>
              </w:rPr>
              <w:t>（一）有《药品不良反应报告和监测管理办法》第五十九条所列2项以上情形的；</w:t>
            </w:r>
          </w:p>
          <w:p>
            <w:pPr>
              <w:pStyle w:val="11"/>
              <w:keepNext w:val="0"/>
              <w:keepLines w:val="0"/>
              <w:pageBreakBefore w:val="0"/>
              <w:kinsoku/>
              <w:wordWrap/>
              <w:overflowPunct/>
              <w:topLinePunct w:val="0"/>
              <w:bidi w:val="0"/>
              <w:adjustRightInd/>
              <w:spacing w:before="2" w:line="240" w:lineRule="auto"/>
              <w:ind w:right="11"/>
              <w:jc w:val="both"/>
              <w:rPr>
                <w:rFonts w:hint="eastAsia" w:eastAsia="宋体"/>
                <w:sz w:val="21"/>
                <w:lang w:val="en-US" w:eastAsia="zh-CN"/>
              </w:rPr>
            </w:pPr>
            <w:r>
              <w:rPr>
                <w:rFonts w:hint="default" w:cs="宋体"/>
                <w:b w:val="0"/>
                <w:bCs w:val="0"/>
                <w:color w:val="000000"/>
                <w:kern w:val="0"/>
                <w:sz w:val="21"/>
                <w:szCs w:val="22"/>
                <w:lang w:val="en-US" w:eastAsia="zh-CN" w:bidi="zh-CN"/>
              </w:rPr>
              <w:t>（二）不配合严重药品不良反应或者群体不良事件调查工作的。</w:t>
            </w:r>
          </w:p>
        </w:tc>
      </w:tr>
    </w:tbl>
    <w:p>
      <w:pPr>
        <w:pStyle w:val="11"/>
        <w:keepNext w:val="0"/>
        <w:keepLines w:val="0"/>
        <w:pageBreakBefore w:val="0"/>
        <w:widowControl w:val="0"/>
        <w:kinsoku/>
        <w:wordWrap/>
        <w:overflowPunct/>
        <w:topLinePunct w:val="0"/>
        <w:autoSpaceDE w:val="0"/>
        <w:autoSpaceDN w:val="0"/>
        <w:bidi w:val="0"/>
        <w:adjustRightInd/>
        <w:snapToGrid/>
        <w:spacing w:line="240" w:lineRule="auto"/>
        <w:ind w:right="0" w:firstLine="421" w:firstLineChars="200"/>
        <w:jc w:val="both"/>
        <w:textAlignment w:val="auto"/>
        <w:rPr>
          <w:rFonts w:hint="eastAsia" w:ascii="Microsoft JhengHei"/>
          <w:b/>
          <w:sz w:val="21"/>
          <w:lang w:val="en-US" w:eastAsia="zh-CN"/>
        </w:rPr>
        <w:sectPr>
          <w:pgSz w:w="16838" w:h="11906" w:orient="landscape"/>
          <w:pgMar w:top="1800" w:right="1440" w:bottom="1800" w:left="1440" w:header="851" w:footer="992" w:gutter="0"/>
          <w:pgNumType w:fmt="decimal"/>
          <w:cols w:space="720" w:num="1"/>
          <w:docGrid w:type="lines" w:linePitch="312" w:charSpace="0"/>
        </w:sectPr>
      </w:pPr>
    </w:p>
    <w:tbl>
      <w:tblPr>
        <w:tblStyle w:val="8"/>
        <w:tblpPr w:leftFromText="180" w:rightFromText="180" w:vertAnchor="page" w:horzAnchor="page" w:tblpX="1549" w:tblpY="2293"/>
        <w:tblOverlap w:val="never"/>
        <w:tblW w:w="504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8"/>
        <w:gridCol w:w="1599"/>
        <w:gridCol w:w="2592"/>
        <w:gridCol w:w="3059"/>
        <w:gridCol w:w="2982"/>
        <w:gridCol w:w="32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 w:hRule="atLeast"/>
        </w:trPr>
        <w:tc>
          <w:tcPr>
            <w:tcW w:w="226" w:type="pct"/>
            <w:vMerge w:val="restart"/>
            <w:tcBorders>
              <w:top w:val="single" w:color="auto" w:sz="4" w:space="0"/>
              <w:bottom w:val="nil"/>
              <w:right w:val="single" w:color="000000" w:sz="8" w:space="0"/>
            </w:tcBorders>
            <w:noWrap w:val="0"/>
            <w:vAlign w:val="center"/>
          </w:tcPr>
          <w:p>
            <w:pPr>
              <w:pStyle w:val="11"/>
              <w:jc w:val="center"/>
              <w:rPr>
                <w:rFonts w:hint="eastAsia" w:eastAsia="宋体"/>
                <w:b/>
                <w:sz w:val="21"/>
                <w:lang w:val="en-US" w:eastAsia="zh-CN"/>
              </w:rPr>
            </w:pPr>
            <w:r>
              <w:rPr>
                <w:rFonts w:hint="eastAsia"/>
                <w:b/>
                <w:sz w:val="21"/>
                <w:lang w:val="en-US" w:eastAsia="zh-CN"/>
              </w:rPr>
              <w:t>7</w:t>
            </w:r>
          </w:p>
        </w:tc>
        <w:tc>
          <w:tcPr>
            <w:tcW w:w="567" w:type="pct"/>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eastAsia="zh-CN"/>
              </w:rPr>
            </w:pPr>
            <w:r>
              <w:rPr>
                <w:rFonts w:hint="eastAsia" w:ascii="Microsoft JhengHei"/>
                <w:b/>
                <w:sz w:val="21"/>
                <w:lang w:eastAsia="zh-CN"/>
              </w:rPr>
              <w:t>裁量条款</w:t>
            </w:r>
          </w:p>
        </w:tc>
        <w:tc>
          <w:tcPr>
            <w:tcW w:w="4205" w:type="pct"/>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ascii="Microsoft JhengHei"/>
                <w:b/>
                <w:sz w:val="21"/>
                <w:lang w:val="en-US"/>
              </w:rPr>
            </w:pPr>
            <w:r>
              <w:rPr>
                <w:rFonts w:hint="eastAsia" w:ascii="Microsoft JhengHei"/>
                <w:b/>
                <w:sz w:val="21"/>
                <w:lang w:val="en-US" w:eastAsia="zh-CN"/>
              </w:rPr>
              <w:t>第七条  本条是对《中华人民共和国中医药法》第五十六条第一款“并处三万元以下罚款”裁量基准的规定。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26" w:type="pct"/>
            <w:vMerge w:val="continue"/>
            <w:tcBorders>
              <w:right w:val="single" w:color="000000" w:sz="8" w:space="0"/>
            </w:tcBorders>
            <w:noWrap w:val="0"/>
            <w:vAlign w:val="top"/>
          </w:tcPr>
          <w:p>
            <w:pPr>
              <w:jc w:val="center"/>
              <w:rPr>
                <w:sz w:val="2"/>
                <w:szCs w:val="2"/>
              </w:rPr>
            </w:pPr>
          </w:p>
        </w:tc>
        <w:tc>
          <w:tcPr>
            <w:tcW w:w="567" w:type="pct"/>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关联法条</w:t>
            </w:r>
          </w:p>
        </w:tc>
        <w:tc>
          <w:tcPr>
            <w:tcW w:w="4205" w:type="pct"/>
            <w:gridSpan w:val="4"/>
            <w:tcBorders>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eastAsia"/>
                <w:sz w:val="21"/>
              </w:rPr>
            </w:pPr>
            <w:r>
              <w:rPr>
                <w:rFonts w:hint="eastAsia"/>
                <w:sz w:val="21"/>
                <w:lang w:val="en-US" w:eastAsia="zh-CN"/>
              </w:rPr>
              <w:t>《中华人民共和国中医药法》第五十六条第一款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26" w:type="pct"/>
            <w:vMerge w:val="continue"/>
            <w:tcBorders>
              <w:right w:val="single" w:color="000000" w:sz="8" w:space="0"/>
            </w:tcBorders>
            <w:noWrap w:val="0"/>
            <w:vAlign w:val="top"/>
          </w:tcPr>
          <w:p>
            <w:pPr>
              <w:jc w:val="center"/>
              <w:rPr>
                <w:sz w:val="2"/>
                <w:szCs w:val="2"/>
              </w:rPr>
            </w:pPr>
          </w:p>
        </w:tc>
        <w:tc>
          <w:tcPr>
            <w:tcW w:w="567"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eastAsia="zh-CN"/>
              </w:rPr>
            </w:pPr>
            <w:r>
              <w:rPr>
                <w:rFonts w:hint="eastAsia" w:ascii="Microsoft JhengHei"/>
                <w:b/>
                <w:sz w:val="21"/>
                <w:lang w:eastAsia="zh-CN"/>
              </w:rPr>
              <w:t>裁量等级</w:t>
            </w:r>
          </w:p>
        </w:tc>
        <w:tc>
          <w:tcPr>
            <w:tcW w:w="920"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eastAsia="zh-CN"/>
              </w:rPr>
            </w:pPr>
            <w:r>
              <w:rPr>
                <w:rFonts w:hint="eastAsia" w:ascii="Microsoft JhengHei"/>
                <w:b/>
                <w:sz w:val="21"/>
                <w:lang w:eastAsia="zh-CN"/>
              </w:rPr>
              <w:t>减轻处罚幅度</w:t>
            </w:r>
          </w:p>
        </w:tc>
        <w:tc>
          <w:tcPr>
            <w:tcW w:w="1086"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eastAsia="zh-CN"/>
              </w:rPr>
            </w:pPr>
            <w:r>
              <w:rPr>
                <w:rFonts w:hint="eastAsia" w:ascii="Microsoft JhengHei"/>
                <w:b/>
                <w:sz w:val="21"/>
                <w:lang w:eastAsia="zh-CN"/>
              </w:rPr>
              <w:t>从轻处罚幅度</w:t>
            </w:r>
          </w:p>
        </w:tc>
        <w:tc>
          <w:tcPr>
            <w:tcW w:w="1058"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eastAsia="zh-CN"/>
              </w:rPr>
            </w:pPr>
            <w:r>
              <w:rPr>
                <w:rFonts w:hint="eastAsia" w:ascii="Microsoft JhengHei"/>
                <w:b/>
                <w:sz w:val="21"/>
                <w:lang w:eastAsia="zh-CN"/>
              </w:rPr>
              <w:t>一般处罚幅度</w:t>
            </w:r>
          </w:p>
        </w:tc>
        <w:tc>
          <w:tcPr>
            <w:tcW w:w="1139"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eastAsia="zh-CN"/>
              </w:rPr>
            </w:pPr>
            <w:r>
              <w:rPr>
                <w:rFonts w:hint="eastAsia" w:ascii="Microsoft JhengHei"/>
                <w:b/>
                <w:sz w:val="21"/>
                <w:lang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trPr>
        <w:tc>
          <w:tcPr>
            <w:tcW w:w="226" w:type="pct"/>
            <w:vMerge w:val="continue"/>
            <w:tcBorders>
              <w:right w:val="single" w:color="000000" w:sz="8" w:space="0"/>
            </w:tcBorders>
            <w:noWrap w:val="0"/>
            <w:vAlign w:val="top"/>
          </w:tcPr>
          <w:p>
            <w:pPr>
              <w:jc w:val="center"/>
              <w:rPr>
                <w:sz w:val="2"/>
                <w:szCs w:val="2"/>
              </w:rPr>
            </w:pPr>
          </w:p>
        </w:tc>
        <w:tc>
          <w:tcPr>
            <w:tcW w:w="567"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eastAsia="zh-CN"/>
              </w:rPr>
            </w:pPr>
            <w:r>
              <w:rPr>
                <w:rFonts w:hint="eastAsia" w:ascii="Microsoft JhengHei"/>
                <w:b/>
                <w:sz w:val="21"/>
                <w:lang w:eastAsia="zh-CN"/>
              </w:rPr>
              <w:t>裁量基准</w:t>
            </w:r>
          </w:p>
        </w:tc>
        <w:tc>
          <w:tcPr>
            <w:tcW w:w="920"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符合裁量规则减轻行政处罚情形的，处0.3万元以下的罚款。</w:t>
            </w:r>
          </w:p>
        </w:tc>
        <w:tc>
          <w:tcPr>
            <w:tcW w:w="1086"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从轻行政处罚，处0.3万元至0.9万元的罚款。</w:t>
            </w:r>
          </w:p>
        </w:tc>
        <w:tc>
          <w:tcPr>
            <w:tcW w:w="1058"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一般行政处罚，处0.9万元以上2.1万元以下的罚款。</w:t>
            </w:r>
          </w:p>
        </w:tc>
        <w:tc>
          <w:tcPr>
            <w:tcW w:w="1139"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从重行政处罚，处2.1万元至3万元的罚款。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26" w:type="pct"/>
            <w:vMerge w:val="continue"/>
            <w:tcBorders>
              <w:right w:val="single" w:color="000000" w:sz="8" w:space="0"/>
            </w:tcBorders>
            <w:noWrap w:val="0"/>
            <w:vAlign w:val="top"/>
          </w:tcPr>
          <w:p>
            <w:pPr>
              <w:jc w:val="center"/>
              <w:rPr>
                <w:sz w:val="2"/>
                <w:szCs w:val="2"/>
              </w:rPr>
            </w:pPr>
          </w:p>
        </w:tc>
        <w:tc>
          <w:tcPr>
            <w:tcW w:w="567" w:type="pct"/>
            <w:tcBorders>
              <w:top w:val="single" w:color="000000" w:sz="8" w:space="0"/>
              <w:left w:val="single" w:color="000000" w:sz="8" w:space="0"/>
              <w:right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line="320" w:lineRule="exact"/>
              <w:ind w:left="17" w:right="11"/>
              <w:jc w:val="both"/>
              <w:textAlignment w:val="auto"/>
              <w:rPr>
                <w:rFonts w:hint="eastAsia" w:eastAsia="宋体"/>
                <w:lang w:val="en-US" w:eastAsia="zh-CN"/>
              </w:rPr>
            </w:pPr>
            <w:r>
              <w:rPr>
                <w:rFonts w:hint="eastAsia" w:ascii="Microsoft JhengHei" w:eastAsia="Microsoft JhengHei"/>
                <w:b/>
                <w:sz w:val="21"/>
                <w:lang w:val="en-US" w:eastAsia="zh-CN"/>
              </w:rPr>
              <w:t>裁量因素</w:t>
            </w:r>
            <w:r>
              <w:rPr>
                <w:rFonts w:hint="eastAsia" w:ascii="Microsoft JhengHei" w:eastAsia="Microsoft JhengHei"/>
                <w:b w:val="0"/>
                <w:bCs/>
                <w:sz w:val="21"/>
                <w:lang w:val="en-US" w:eastAsia="zh-CN"/>
              </w:rPr>
              <w:t>（是指在进行裁量时，除裁量规则规定的从轻、减轻、从重情形外，可以考虑的因素）</w:t>
            </w:r>
          </w:p>
        </w:tc>
        <w:tc>
          <w:tcPr>
            <w:tcW w:w="4205" w:type="pct"/>
            <w:gridSpan w:val="4"/>
            <w:tcBorders>
              <w:top w:val="single" w:color="000000" w:sz="8" w:space="0"/>
              <w:left w:val="single" w:color="auto" w:sz="4" w:space="0"/>
              <w:bottom w:val="single" w:color="auto" w:sz="4" w:space="0"/>
              <w:right w:val="single" w:color="000000" w:sz="8" w:space="0"/>
            </w:tcBorders>
            <w:noWrap w:val="0"/>
            <w:vAlign w:val="top"/>
          </w:tcPr>
          <w:p>
            <w:pPr>
              <w:keepNext w:val="0"/>
              <w:keepLines w:val="0"/>
              <w:pageBreakBefore w:val="0"/>
              <w:widowControl/>
              <w:numPr>
                <w:ilvl w:val="0"/>
                <w:numId w:val="0"/>
              </w:numPr>
              <w:suppressLineNumbers w:val="0"/>
              <w:kinsoku/>
              <w:wordWrap/>
              <w:overflowPunct/>
              <w:topLinePunct w:val="0"/>
              <w:bidi w:val="0"/>
              <w:adjustRightInd/>
              <w:snapToGrid/>
              <w:spacing w:line="400" w:lineRule="exact"/>
              <w:jc w:val="left"/>
              <w:textAlignment w:val="auto"/>
              <w:rPr>
                <w:rFonts w:hint="eastAsia" w:ascii="宋体" w:hAnsi="宋体" w:eastAsia="宋体" w:cs="宋体"/>
                <w:kern w:val="0"/>
                <w:sz w:val="21"/>
                <w:szCs w:val="21"/>
                <w:lang w:val="en-US" w:eastAsia="zh-CN" w:bidi="zh-CN"/>
              </w:rPr>
            </w:pPr>
          </w:p>
          <w:p>
            <w:pPr>
              <w:keepNext w:val="0"/>
              <w:keepLines w:val="0"/>
              <w:pageBreakBefore w:val="0"/>
              <w:widowControl/>
              <w:suppressLineNumbers w:val="0"/>
              <w:kinsoku/>
              <w:wordWrap/>
              <w:overflowPunct/>
              <w:topLinePunct w:val="0"/>
              <w:bidi w:val="0"/>
              <w:adjustRightInd/>
              <w:snapToGrid/>
              <w:spacing w:line="400" w:lineRule="exact"/>
              <w:jc w:val="left"/>
              <w:textAlignment w:val="auto"/>
              <w:rPr>
                <w:rFonts w:hint="eastAsia" w:eastAsia="宋体"/>
                <w:sz w:val="21"/>
                <w:lang w:val="en-US" w:eastAsia="zh-CN"/>
              </w:rPr>
            </w:pPr>
          </w:p>
        </w:tc>
      </w:tr>
    </w:tbl>
    <w:p>
      <w:pPr>
        <w:pStyle w:val="11"/>
        <w:keepNext w:val="0"/>
        <w:keepLines w:val="0"/>
        <w:pageBreakBefore w:val="0"/>
        <w:widowControl w:val="0"/>
        <w:kinsoku/>
        <w:wordWrap/>
        <w:overflowPunct/>
        <w:topLinePunct w:val="0"/>
        <w:autoSpaceDE w:val="0"/>
        <w:autoSpaceDN w:val="0"/>
        <w:bidi w:val="0"/>
        <w:adjustRightInd/>
        <w:snapToGrid/>
        <w:spacing w:line="240" w:lineRule="auto"/>
        <w:ind w:right="0" w:firstLine="421" w:firstLineChars="200"/>
        <w:jc w:val="both"/>
        <w:textAlignment w:val="auto"/>
        <w:rPr>
          <w:rFonts w:hint="eastAsia" w:ascii="Microsoft JhengHei"/>
          <w:b/>
          <w:sz w:val="21"/>
          <w:lang w:val="en-US" w:eastAsia="zh-CN"/>
        </w:rPr>
      </w:pPr>
    </w:p>
    <w:p>
      <w:pPr>
        <w:pStyle w:val="11"/>
        <w:keepNext w:val="0"/>
        <w:keepLines w:val="0"/>
        <w:pageBreakBefore w:val="0"/>
        <w:widowControl w:val="0"/>
        <w:kinsoku/>
        <w:wordWrap/>
        <w:overflowPunct/>
        <w:topLinePunct w:val="0"/>
        <w:autoSpaceDE w:val="0"/>
        <w:autoSpaceDN w:val="0"/>
        <w:bidi w:val="0"/>
        <w:adjustRightInd/>
        <w:snapToGrid/>
        <w:spacing w:line="240" w:lineRule="auto"/>
        <w:ind w:right="0" w:firstLine="421" w:firstLineChars="200"/>
        <w:jc w:val="both"/>
        <w:textAlignment w:val="auto"/>
        <w:rPr>
          <w:rFonts w:hint="eastAsia" w:ascii="Microsoft JhengHei"/>
          <w:b/>
          <w:sz w:val="21"/>
          <w:lang w:val="en-US" w:eastAsia="zh-CN"/>
        </w:rPr>
      </w:pPr>
    </w:p>
    <w:p>
      <w:pPr>
        <w:pStyle w:val="11"/>
        <w:keepNext w:val="0"/>
        <w:keepLines w:val="0"/>
        <w:pageBreakBefore w:val="0"/>
        <w:widowControl w:val="0"/>
        <w:kinsoku/>
        <w:wordWrap/>
        <w:overflowPunct/>
        <w:topLinePunct w:val="0"/>
        <w:autoSpaceDE w:val="0"/>
        <w:autoSpaceDN w:val="0"/>
        <w:bidi w:val="0"/>
        <w:adjustRightInd/>
        <w:snapToGrid/>
        <w:spacing w:line="240" w:lineRule="auto"/>
        <w:ind w:right="0" w:firstLine="421" w:firstLineChars="200"/>
        <w:jc w:val="both"/>
        <w:textAlignment w:val="auto"/>
        <w:rPr>
          <w:rFonts w:hint="eastAsia" w:ascii="Microsoft JhengHei"/>
          <w:b/>
          <w:sz w:val="21"/>
          <w:lang w:val="en-US" w:eastAsia="zh-CN"/>
        </w:rPr>
        <w:sectPr>
          <w:pgSz w:w="16838" w:h="11906" w:orient="landscape"/>
          <w:pgMar w:top="1800" w:right="1440" w:bottom="1800" w:left="1440" w:header="851" w:footer="992" w:gutter="0"/>
          <w:pgNumType w:fmt="decimal"/>
          <w:cols w:space="720" w:num="1"/>
          <w:docGrid w:type="lines" w:linePitch="312" w:charSpace="0"/>
        </w:sectPr>
      </w:pPr>
    </w:p>
    <w:tbl>
      <w:tblPr>
        <w:tblStyle w:val="8"/>
        <w:tblpPr w:leftFromText="180" w:rightFromText="180" w:vertAnchor="page" w:horzAnchor="page" w:tblpX="1549" w:tblpY="2187"/>
        <w:tblOverlap w:val="never"/>
        <w:tblW w:w="140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8"/>
        <w:gridCol w:w="1612"/>
        <w:gridCol w:w="2607"/>
        <w:gridCol w:w="3037"/>
        <w:gridCol w:w="2981"/>
        <w:gridCol w:w="32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38" w:type="dxa"/>
            <w:vMerge w:val="restart"/>
            <w:tcBorders>
              <w:top w:val="single" w:color="auto" w:sz="4" w:space="0"/>
              <w:bottom w:val="nil"/>
              <w:right w:val="single" w:color="000000" w:sz="8" w:space="0"/>
            </w:tcBorders>
            <w:noWrap w:val="0"/>
            <w:vAlign w:val="center"/>
          </w:tcPr>
          <w:p>
            <w:pPr>
              <w:widowControl w:val="0"/>
              <w:snapToGrid w:val="0"/>
              <w:spacing w:line="400" w:lineRule="exact"/>
              <w:jc w:val="center"/>
              <w:rPr>
                <w:rFonts w:hint="default" w:ascii="Times New Roman" w:hAnsi="Times New Roman" w:eastAsia="宋体" w:cs="Times New Roman"/>
                <w:b/>
                <w:snapToGrid w:val="0"/>
                <w:color w:val="auto"/>
                <w:kern w:val="2"/>
                <w:sz w:val="21"/>
                <w:szCs w:val="24"/>
                <w:lang w:val="en-US" w:eastAsia="zh-CN" w:bidi="ar-SA"/>
              </w:rPr>
            </w:pPr>
            <w:r>
              <w:rPr>
                <w:rFonts w:hint="eastAsia" w:ascii="Times New Roman" w:hAnsi="Times New Roman" w:cs="Times New Roman"/>
                <w:b/>
                <w:snapToGrid w:val="0"/>
                <w:color w:val="auto"/>
                <w:kern w:val="2"/>
                <w:sz w:val="21"/>
                <w:szCs w:val="24"/>
                <w:lang w:val="en-US" w:eastAsia="zh-CN" w:bidi="ar-SA"/>
              </w:rPr>
              <w:t>8</w:t>
            </w:r>
          </w:p>
        </w:tc>
        <w:tc>
          <w:tcPr>
            <w:tcW w:w="1612" w:type="dxa"/>
            <w:noWrap w:val="0"/>
            <w:vAlign w:val="center"/>
          </w:tcPr>
          <w:p>
            <w:pPr>
              <w:widowControl w:val="0"/>
              <w:snapToGrid w:val="0"/>
              <w:spacing w:line="400" w:lineRule="exact"/>
              <w:jc w:val="center"/>
              <w:rPr>
                <w:rFonts w:hint="eastAsia" w:ascii="Times New Roman" w:hAnsi="Times New Roman" w:eastAsia="宋体" w:cs="Times New Roman"/>
                <w:b/>
                <w:snapToGrid w:val="0"/>
                <w:color w:val="auto"/>
                <w:kern w:val="2"/>
                <w:sz w:val="21"/>
                <w:szCs w:val="24"/>
                <w:lang w:val="en-US" w:eastAsia="zh-CN" w:bidi="ar-SA"/>
              </w:rPr>
            </w:pPr>
            <w:r>
              <w:rPr>
                <w:rFonts w:hint="eastAsia" w:ascii="Times New Roman" w:hAnsi="Times New Roman" w:eastAsia="宋体" w:cs="Times New Roman"/>
                <w:b/>
                <w:snapToGrid w:val="0"/>
                <w:color w:val="auto"/>
                <w:kern w:val="2"/>
                <w:sz w:val="21"/>
                <w:szCs w:val="24"/>
                <w:lang w:val="en-US" w:eastAsia="zh-CN" w:bidi="ar-SA"/>
              </w:rPr>
              <w:t>裁量条款</w:t>
            </w:r>
          </w:p>
        </w:tc>
        <w:tc>
          <w:tcPr>
            <w:tcW w:w="11832" w:type="dxa"/>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ascii="Times New Roman" w:hAnsi="Times New Roman" w:eastAsia="宋体" w:cs="Times New Roman"/>
                <w:b/>
                <w:snapToGrid w:val="0"/>
                <w:color w:val="auto"/>
                <w:kern w:val="2"/>
                <w:sz w:val="21"/>
                <w:szCs w:val="24"/>
                <w:lang w:val="en-US" w:eastAsia="zh-CN" w:bidi="ar-SA"/>
              </w:rPr>
            </w:pPr>
            <w:r>
              <w:rPr>
                <w:rFonts w:hint="eastAsia" w:ascii="Microsoft JhengHei"/>
                <w:b/>
                <w:sz w:val="21"/>
                <w:lang w:val="en-US" w:eastAsia="zh-CN"/>
              </w:rPr>
              <w:t>第八条  本条是对《互联网药品信息服务管理办法》第二十三条“处以500以下的罚款”裁量基准的规定。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38"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color w:val="auto"/>
                <w:kern w:val="2"/>
                <w:sz w:val="2"/>
                <w:szCs w:val="2"/>
                <w:lang w:val="en-US" w:bidi="ar-SA"/>
              </w:rPr>
            </w:pPr>
          </w:p>
        </w:tc>
        <w:tc>
          <w:tcPr>
            <w:tcW w:w="1612" w:type="dxa"/>
            <w:noWrap w:val="0"/>
            <w:vAlign w:val="center"/>
          </w:tcPr>
          <w:p>
            <w:pPr>
              <w:widowControl w:val="0"/>
              <w:snapToGrid w:val="0"/>
              <w:spacing w:line="400" w:lineRule="exact"/>
              <w:jc w:val="center"/>
              <w:rPr>
                <w:rFonts w:hint="eastAsia" w:ascii="Times New Roman" w:hAnsi="Times New Roman" w:eastAsia="宋体" w:cs="Times New Roman"/>
                <w:b/>
                <w:snapToGrid w:val="0"/>
                <w:color w:val="auto"/>
                <w:kern w:val="2"/>
                <w:sz w:val="21"/>
                <w:szCs w:val="24"/>
                <w:lang w:val="en-US" w:eastAsia="zh-CN" w:bidi="ar-SA"/>
              </w:rPr>
            </w:pPr>
            <w:r>
              <w:rPr>
                <w:rFonts w:hint="eastAsia" w:ascii="Times New Roman" w:hAnsi="Times New Roman" w:eastAsia="宋体" w:cs="Times New Roman"/>
                <w:b/>
                <w:snapToGrid w:val="0"/>
                <w:color w:val="auto"/>
                <w:kern w:val="2"/>
                <w:sz w:val="21"/>
                <w:szCs w:val="24"/>
                <w:lang w:val="en-US" w:eastAsia="zh-CN" w:bidi="ar-SA"/>
              </w:rPr>
              <w:t>关联法条</w:t>
            </w:r>
          </w:p>
        </w:tc>
        <w:tc>
          <w:tcPr>
            <w:tcW w:w="11832" w:type="dxa"/>
            <w:gridSpan w:val="4"/>
            <w:tcBorders>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ascii="Times New Roman" w:hAnsi="Times New Roman" w:eastAsia="宋体" w:cs="Times New Roman"/>
                <w:snapToGrid w:val="0"/>
                <w:color w:val="auto"/>
                <w:kern w:val="2"/>
                <w:sz w:val="21"/>
                <w:szCs w:val="24"/>
                <w:lang w:val="en-US" w:eastAsia="zh-CN" w:bidi="ar-SA"/>
              </w:rPr>
            </w:pPr>
            <w:r>
              <w:rPr>
                <w:rFonts w:hint="eastAsia"/>
                <w:sz w:val="21"/>
                <w:lang w:val="en-US" w:eastAsia="zh-CN"/>
              </w:rPr>
              <w:t>《互联网药品信息服务管理办法》第二十三条 提供互联网药品信息服务的网站不在其网站主页的显著位置标注《互联网药品信息服务资格证书》的证书编号的，国家食品药品监督管理总局或者省、自治区、直辖市食品药品监督管理部门给予警告，责令限期改正；在限定期限内拒不改正的，对提供非经营性互联网药品信息服务的网站处以500元以下罚款，对提供经营性互联网药品信息服务的网站处以5000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638"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color w:val="auto"/>
                <w:kern w:val="2"/>
                <w:sz w:val="2"/>
                <w:szCs w:val="2"/>
                <w:lang w:val="en-US" w:bidi="ar-SA"/>
              </w:rPr>
            </w:pPr>
          </w:p>
        </w:tc>
        <w:tc>
          <w:tcPr>
            <w:tcW w:w="1612" w:type="dxa"/>
            <w:tcBorders>
              <w:top w:val="single" w:color="000000" w:sz="8" w:space="0"/>
              <w:left w:val="single" w:color="000000" w:sz="8" w:space="0"/>
              <w:bottom w:val="single" w:color="000000" w:sz="8" w:space="0"/>
              <w:right w:val="single" w:color="000000" w:sz="8" w:space="0"/>
            </w:tcBorders>
            <w:noWrap w:val="0"/>
            <w:vAlign w:val="center"/>
          </w:tcPr>
          <w:p>
            <w:pPr>
              <w:widowControl w:val="0"/>
              <w:snapToGrid w:val="0"/>
              <w:spacing w:line="400" w:lineRule="exact"/>
              <w:jc w:val="center"/>
              <w:rPr>
                <w:rFonts w:ascii="Times New Roman" w:hAnsi="Times New Roman" w:eastAsia="Microsoft JhengHei" w:cs="Times New Roman"/>
                <w:b/>
                <w:snapToGrid w:val="0"/>
                <w:color w:val="auto"/>
                <w:kern w:val="2"/>
                <w:sz w:val="21"/>
                <w:szCs w:val="24"/>
                <w:lang w:val="en-US" w:eastAsia="zh-CN" w:bidi="ar-SA"/>
              </w:rPr>
            </w:pPr>
            <w:r>
              <w:rPr>
                <w:rFonts w:hint="eastAsia" w:ascii="Times New Roman" w:hAnsi="Times New Roman" w:eastAsia="Microsoft JhengHei" w:cs="Times New Roman"/>
                <w:b/>
                <w:snapToGrid w:val="0"/>
                <w:color w:val="auto"/>
                <w:kern w:val="2"/>
                <w:sz w:val="21"/>
                <w:szCs w:val="24"/>
                <w:lang w:val="en-US" w:eastAsia="zh-CN" w:bidi="ar-SA"/>
              </w:rPr>
              <w:t>裁量等级</w:t>
            </w:r>
          </w:p>
        </w:tc>
        <w:tc>
          <w:tcPr>
            <w:tcW w:w="2607"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减轻处罚幅度</w:t>
            </w:r>
          </w:p>
        </w:tc>
        <w:tc>
          <w:tcPr>
            <w:tcW w:w="3037"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从轻处罚幅度</w:t>
            </w:r>
          </w:p>
        </w:tc>
        <w:tc>
          <w:tcPr>
            <w:tcW w:w="2981"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一般处罚幅度</w:t>
            </w:r>
          </w:p>
        </w:tc>
        <w:tc>
          <w:tcPr>
            <w:tcW w:w="3207"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638"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color w:val="auto"/>
                <w:kern w:val="2"/>
                <w:sz w:val="2"/>
                <w:szCs w:val="2"/>
                <w:lang w:val="en-US" w:bidi="ar-SA"/>
              </w:rPr>
            </w:pPr>
          </w:p>
        </w:tc>
        <w:tc>
          <w:tcPr>
            <w:tcW w:w="1612" w:type="dxa"/>
            <w:tcBorders>
              <w:top w:val="single" w:color="000000" w:sz="8" w:space="0"/>
              <w:left w:val="single" w:color="000000" w:sz="8" w:space="0"/>
              <w:bottom w:val="single" w:color="000000" w:sz="8" w:space="0"/>
              <w:right w:val="single" w:color="000000" w:sz="8" w:space="0"/>
            </w:tcBorders>
            <w:noWrap w:val="0"/>
            <w:vAlign w:val="center"/>
          </w:tcPr>
          <w:p>
            <w:pPr>
              <w:widowControl w:val="0"/>
              <w:snapToGrid w:val="0"/>
              <w:spacing w:line="400" w:lineRule="exact"/>
              <w:jc w:val="center"/>
              <w:rPr>
                <w:rFonts w:ascii="Times New Roman" w:hAnsi="Times New Roman" w:eastAsia="Microsoft JhengHei" w:cs="Times New Roman"/>
                <w:b/>
                <w:snapToGrid w:val="0"/>
                <w:color w:val="auto"/>
                <w:kern w:val="2"/>
                <w:sz w:val="21"/>
                <w:szCs w:val="24"/>
                <w:lang w:val="en-US" w:eastAsia="zh-CN" w:bidi="ar-SA"/>
              </w:rPr>
            </w:pPr>
            <w:r>
              <w:rPr>
                <w:rFonts w:hint="eastAsia" w:ascii="Times New Roman" w:hAnsi="Times New Roman" w:eastAsia="Microsoft JhengHei" w:cs="Times New Roman"/>
                <w:b/>
                <w:snapToGrid w:val="0"/>
                <w:color w:val="auto"/>
                <w:kern w:val="2"/>
                <w:sz w:val="21"/>
                <w:szCs w:val="24"/>
                <w:lang w:val="en-US" w:eastAsia="zh-CN" w:bidi="ar-SA"/>
              </w:rPr>
              <w:t>裁量基准</w:t>
            </w:r>
          </w:p>
        </w:tc>
        <w:tc>
          <w:tcPr>
            <w:tcW w:w="2607"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p>
        </w:tc>
        <w:tc>
          <w:tcPr>
            <w:tcW w:w="3037"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从轻行政处罚，处50至150元的罚款。</w:t>
            </w:r>
          </w:p>
        </w:tc>
        <w:tc>
          <w:tcPr>
            <w:tcW w:w="2981"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r>
              <w:rPr>
                <w:rFonts w:hint="eastAsia"/>
                <w:sz w:val="21"/>
                <w:lang w:val="en-US" w:eastAsia="zh-CN"/>
              </w:rPr>
              <w:t>一般行政处罚，处150元以上350元以下的罚款。</w:t>
            </w:r>
          </w:p>
        </w:tc>
        <w:tc>
          <w:tcPr>
            <w:tcW w:w="3207"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从重行政处罚，处350元至500元的罚款。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0" w:hRule="atLeast"/>
        </w:trPr>
        <w:tc>
          <w:tcPr>
            <w:tcW w:w="638" w:type="dxa"/>
            <w:vMerge w:val="continue"/>
            <w:tcBorders>
              <w:right w:val="single" w:color="000000" w:sz="8" w:space="0"/>
            </w:tcBorders>
            <w:noWrap w:val="0"/>
            <w:vAlign w:val="center"/>
          </w:tcPr>
          <w:p>
            <w:pPr>
              <w:autoSpaceDE/>
              <w:autoSpaceDN/>
              <w:snapToGrid w:val="0"/>
              <w:spacing w:line="400" w:lineRule="exact"/>
              <w:jc w:val="both"/>
              <w:rPr>
                <w:rFonts w:ascii="Times New Roman" w:hAnsi="Times New Roman" w:cs="Times New Roman"/>
                <w:snapToGrid w:val="0"/>
                <w:color w:val="auto"/>
                <w:kern w:val="2"/>
                <w:sz w:val="2"/>
                <w:szCs w:val="2"/>
                <w:lang w:val="en-US" w:bidi="ar-SA"/>
              </w:rPr>
            </w:pPr>
          </w:p>
        </w:tc>
        <w:tc>
          <w:tcPr>
            <w:tcW w:w="1612" w:type="dxa"/>
            <w:tcBorders>
              <w:top w:val="single" w:color="000000" w:sz="8" w:space="0"/>
              <w:left w:val="single" w:color="000000" w:sz="8"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80" w:lineRule="exact"/>
              <w:jc w:val="both"/>
              <w:textAlignment w:val="auto"/>
              <w:rPr>
                <w:rFonts w:hint="eastAsia" w:ascii="Times New Roman" w:hAnsi="Times New Roman" w:eastAsia="宋体" w:cs="Times New Roman"/>
                <w:snapToGrid w:val="0"/>
                <w:color w:val="auto"/>
                <w:kern w:val="2"/>
                <w:sz w:val="21"/>
                <w:szCs w:val="24"/>
                <w:lang w:val="en-US" w:eastAsia="zh-CN" w:bidi="ar-SA"/>
              </w:rPr>
            </w:pPr>
            <w:r>
              <w:rPr>
                <w:rFonts w:hint="eastAsia" w:ascii="Times New Roman" w:hAnsi="Times New Roman" w:eastAsia="Microsoft JhengHei" w:cs="Times New Roman"/>
                <w:b/>
                <w:snapToGrid w:val="0"/>
                <w:color w:val="auto"/>
                <w:kern w:val="2"/>
                <w:sz w:val="21"/>
                <w:szCs w:val="24"/>
                <w:lang w:val="en-US" w:eastAsia="zh-CN" w:bidi="ar-SA"/>
              </w:rPr>
              <w:t>裁量因素</w:t>
            </w:r>
            <w:r>
              <w:rPr>
                <w:rFonts w:hint="eastAsia" w:ascii="Times New Roman" w:hAnsi="Times New Roman" w:eastAsia="Microsoft JhengHei" w:cs="Times New Roman"/>
                <w:bCs/>
                <w:snapToGrid w:val="0"/>
                <w:color w:val="auto"/>
                <w:kern w:val="2"/>
                <w:sz w:val="21"/>
                <w:szCs w:val="24"/>
                <w:lang w:val="en-US" w:eastAsia="zh-CN" w:bidi="ar-SA"/>
              </w:rPr>
              <w:t>（是指在进行裁量时，除裁量规则规定的从轻、减轻、从重情形外，可以考虑的因素）</w:t>
            </w:r>
          </w:p>
        </w:tc>
        <w:tc>
          <w:tcPr>
            <w:tcW w:w="11832" w:type="dxa"/>
            <w:gridSpan w:val="4"/>
            <w:tcBorders>
              <w:top w:val="single" w:color="000000" w:sz="8" w:space="0"/>
              <w:left w:val="single" w:color="auto" w:sz="4" w:space="0"/>
              <w:bottom w:val="single" w:color="auto" w:sz="4" w:space="0"/>
              <w:right w:val="single" w:color="000000" w:sz="8" w:space="0"/>
            </w:tcBorders>
            <w:noWrap w:val="0"/>
            <w:vAlign w:val="center"/>
          </w:tcPr>
          <w:p>
            <w:pPr>
              <w:widowControl w:val="0"/>
              <w:snapToGrid w:val="0"/>
              <w:spacing w:line="400" w:lineRule="exact"/>
              <w:jc w:val="both"/>
              <w:rPr>
                <w:rFonts w:hint="eastAsia" w:ascii="Times New Roman" w:hAnsi="Times New Roman" w:eastAsia="宋体" w:cs="Times New Roman"/>
                <w:snapToGrid w:val="0"/>
                <w:color w:val="auto"/>
                <w:kern w:val="2"/>
                <w:sz w:val="21"/>
                <w:szCs w:val="24"/>
                <w:lang w:val="en-US" w:eastAsia="zh-CN" w:bidi="ar-SA"/>
              </w:rPr>
            </w:pPr>
          </w:p>
        </w:tc>
      </w:tr>
    </w:tbl>
    <w:p>
      <w:pPr>
        <w:autoSpaceDE/>
        <w:autoSpaceDN/>
        <w:jc w:val="both"/>
        <w:rPr>
          <w:rFonts w:ascii="Times New Roman" w:hAnsi="Times New Roman" w:cs="Times New Roman"/>
          <w:snapToGrid w:val="0"/>
          <w:kern w:val="2"/>
          <w:sz w:val="21"/>
          <w:szCs w:val="24"/>
          <w:lang w:val="en-US" w:bidi="ar-SA"/>
        </w:rPr>
      </w:pPr>
    </w:p>
    <w:p>
      <w:pPr>
        <w:pStyle w:val="11"/>
        <w:keepNext w:val="0"/>
        <w:keepLines w:val="0"/>
        <w:pageBreakBefore w:val="0"/>
        <w:widowControl w:val="0"/>
        <w:kinsoku/>
        <w:wordWrap/>
        <w:overflowPunct/>
        <w:topLinePunct w:val="0"/>
        <w:autoSpaceDE w:val="0"/>
        <w:autoSpaceDN w:val="0"/>
        <w:bidi w:val="0"/>
        <w:adjustRightInd/>
        <w:snapToGrid/>
        <w:spacing w:line="240" w:lineRule="auto"/>
        <w:ind w:right="0" w:firstLine="421" w:firstLineChars="200"/>
        <w:jc w:val="both"/>
        <w:textAlignment w:val="auto"/>
        <w:rPr>
          <w:rFonts w:hint="eastAsia" w:ascii="Microsoft JhengHei"/>
          <w:b/>
          <w:sz w:val="21"/>
          <w:lang w:val="en-US" w:eastAsia="zh-CN"/>
        </w:rPr>
        <w:sectPr>
          <w:pgSz w:w="16838" w:h="11906" w:orient="landscape"/>
          <w:pgMar w:top="1800" w:right="1440" w:bottom="1800" w:left="1440" w:header="851" w:footer="992" w:gutter="0"/>
          <w:pgNumType w:fmt="decimal"/>
          <w:cols w:space="720" w:num="1"/>
          <w:docGrid w:type="lines" w:linePitch="312" w:charSpace="0"/>
        </w:sectPr>
      </w:pPr>
    </w:p>
    <w:tbl>
      <w:tblPr>
        <w:tblStyle w:val="8"/>
        <w:tblpPr w:leftFromText="180" w:rightFromText="180" w:vertAnchor="page" w:horzAnchor="page" w:tblpX="1549" w:tblpY="2274"/>
        <w:tblOverlap w:val="never"/>
        <w:tblW w:w="141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8"/>
        <w:gridCol w:w="1612"/>
        <w:gridCol w:w="2607"/>
        <w:gridCol w:w="3018"/>
        <w:gridCol w:w="3000"/>
        <w:gridCol w:w="3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38" w:type="dxa"/>
            <w:vMerge w:val="restart"/>
            <w:tcBorders>
              <w:top w:val="single" w:color="auto" w:sz="4" w:space="0"/>
              <w:bottom w:val="nil"/>
              <w:right w:val="single" w:color="000000" w:sz="8" w:space="0"/>
            </w:tcBorders>
            <w:noWrap w:val="0"/>
            <w:vAlign w:val="center"/>
          </w:tcPr>
          <w:p>
            <w:pPr>
              <w:widowControl w:val="0"/>
              <w:snapToGrid w:val="0"/>
              <w:spacing w:line="400" w:lineRule="exact"/>
              <w:jc w:val="center"/>
              <w:rPr>
                <w:rFonts w:hint="default" w:ascii="Times New Roman" w:hAnsi="Times New Roman" w:eastAsia="宋体" w:cs="Times New Roman"/>
                <w:b/>
                <w:snapToGrid w:val="0"/>
                <w:kern w:val="2"/>
                <w:sz w:val="21"/>
                <w:szCs w:val="24"/>
                <w:lang w:val="en-US" w:eastAsia="zh-CN" w:bidi="ar-SA"/>
              </w:rPr>
            </w:pPr>
            <w:r>
              <w:rPr>
                <w:rFonts w:hint="eastAsia" w:ascii="Times New Roman" w:hAnsi="Times New Roman" w:cs="Times New Roman"/>
                <w:b/>
                <w:snapToGrid w:val="0"/>
                <w:kern w:val="2"/>
                <w:sz w:val="21"/>
                <w:szCs w:val="24"/>
                <w:lang w:val="en-US" w:eastAsia="zh-CN" w:bidi="ar-SA"/>
              </w:rPr>
              <w:t>9</w:t>
            </w:r>
          </w:p>
        </w:tc>
        <w:tc>
          <w:tcPr>
            <w:tcW w:w="1612" w:type="dxa"/>
            <w:noWrap w:val="0"/>
            <w:vAlign w:val="center"/>
          </w:tcPr>
          <w:p>
            <w:pPr>
              <w:widowControl w:val="0"/>
              <w:snapToGrid w:val="0"/>
              <w:spacing w:line="400" w:lineRule="exact"/>
              <w:jc w:val="center"/>
              <w:rPr>
                <w:rFonts w:hint="eastAsia" w:ascii="Times New Roman" w:hAnsi="Times New Roman" w:eastAsia="宋体" w:cs="Times New Roman"/>
                <w:b/>
                <w:snapToGrid w:val="0"/>
                <w:kern w:val="2"/>
                <w:sz w:val="21"/>
                <w:szCs w:val="24"/>
                <w:lang w:val="en-US" w:eastAsia="zh-CN" w:bidi="ar-SA"/>
              </w:rPr>
            </w:pPr>
            <w:r>
              <w:rPr>
                <w:rFonts w:hint="eastAsia" w:ascii="Times New Roman" w:hAnsi="Times New Roman" w:eastAsia="宋体" w:cs="Times New Roman"/>
                <w:b/>
                <w:snapToGrid w:val="0"/>
                <w:kern w:val="2"/>
                <w:sz w:val="21"/>
                <w:szCs w:val="24"/>
                <w:lang w:val="en-US" w:eastAsia="zh-CN" w:bidi="ar-SA"/>
              </w:rPr>
              <w:t>裁量条款</w:t>
            </w:r>
          </w:p>
        </w:tc>
        <w:tc>
          <w:tcPr>
            <w:tcW w:w="11869" w:type="dxa"/>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ascii="Times New Roman" w:hAnsi="Times New Roman" w:eastAsia="宋体" w:cs="Times New Roman"/>
                <w:b/>
                <w:snapToGrid w:val="0"/>
                <w:kern w:val="2"/>
                <w:sz w:val="21"/>
                <w:szCs w:val="24"/>
                <w:lang w:val="en-US" w:eastAsia="zh-CN" w:bidi="ar-SA"/>
              </w:rPr>
            </w:pPr>
            <w:r>
              <w:rPr>
                <w:rFonts w:hint="eastAsia" w:ascii="Microsoft JhengHei"/>
                <w:b/>
                <w:sz w:val="21"/>
                <w:lang w:val="en-US" w:eastAsia="zh-CN"/>
              </w:rPr>
              <w:t>第九条  本条是对《互联网药品信息服务管理办法》第二十三条“处以5000元以上1万元以下的罚款”裁量基准的规定。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9" w:hRule="atLeast"/>
        </w:trPr>
        <w:tc>
          <w:tcPr>
            <w:tcW w:w="638"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612" w:type="dxa"/>
            <w:noWrap w:val="0"/>
            <w:vAlign w:val="center"/>
          </w:tcPr>
          <w:p>
            <w:pPr>
              <w:widowControl w:val="0"/>
              <w:snapToGrid w:val="0"/>
              <w:spacing w:line="400" w:lineRule="exact"/>
              <w:jc w:val="center"/>
              <w:rPr>
                <w:rFonts w:hint="eastAsia" w:ascii="Times New Roman" w:hAnsi="Times New Roman" w:eastAsia="宋体" w:cs="Times New Roman"/>
                <w:b/>
                <w:snapToGrid w:val="0"/>
                <w:kern w:val="2"/>
                <w:sz w:val="21"/>
                <w:szCs w:val="24"/>
                <w:lang w:val="en-US" w:eastAsia="zh-CN" w:bidi="ar-SA"/>
              </w:rPr>
            </w:pPr>
            <w:r>
              <w:rPr>
                <w:rFonts w:hint="eastAsia" w:ascii="Times New Roman" w:hAnsi="Times New Roman" w:eastAsia="宋体" w:cs="Times New Roman"/>
                <w:b/>
                <w:snapToGrid w:val="0"/>
                <w:kern w:val="2"/>
                <w:sz w:val="21"/>
                <w:szCs w:val="24"/>
                <w:lang w:val="en-US" w:eastAsia="zh-CN" w:bidi="ar-SA"/>
              </w:rPr>
              <w:t>关联法条</w:t>
            </w:r>
          </w:p>
        </w:tc>
        <w:tc>
          <w:tcPr>
            <w:tcW w:w="11869" w:type="dxa"/>
            <w:gridSpan w:val="4"/>
            <w:tcBorders>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ascii="Times New Roman" w:hAnsi="Times New Roman" w:eastAsia="宋体" w:cs="Times New Roman"/>
                <w:snapToGrid w:val="0"/>
                <w:kern w:val="2"/>
                <w:sz w:val="21"/>
                <w:szCs w:val="24"/>
                <w:lang w:val="en-US" w:eastAsia="zh-CN" w:bidi="ar-SA"/>
              </w:rPr>
            </w:pPr>
            <w:r>
              <w:rPr>
                <w:rFonts w:hint="eastAsia"/>
                <w:sz w:val="21"/>
                <w:lang w:val="en-US" w:eastAsia="zh-CN"/>
              </w:rPr>
              <w:t xml:space="preserve">《互联网药品信息服务管理办法》第二十三条 </w:t>
            </w:r>
            <w:r>
              <w:rPr>
                <w:rFonts w:hint="eastAsia"/>
                <w:sz w:val="21"/>
                <w:lang w:val="en-US"/>
              </w:rPr>
              <w:t>（详见本基准第</w:t>
            </w:r>
            <w:r>
              <w:rPr>
                <w:rFonts w:hint="eastAsia"/>
                <w:sz w:val="21"/>
                <w:lang w:val="en-US" w:eastAsia="zh-CN"/>
              </w:rPr>
              <w:t>八</w:t>
            </w:r>
            <w:r>
              <w:rPr>
                <w:rFonts w:hint="eastAsia"/>
                <w:sz w:val="21"/>
                <w:lang w:val="en-US"/>
              </w:rPr>
              <w:t>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638"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612" w:type="dxa"/>
            <w:tcBorders>
              <w:top w:val="single" w:color="000000" w:sz="8" w:space="0"/>
              <w:left w:val="single" w:color="000000" w:sz="8" w:space="0"/>
              <w:bottom w:val="single" w:color="000000" w:sz="8" w:space="0"/>
              <w:right w:val="single" w:color="000000" w:sz="8" w:space="0"/>
            </w:tcBorders>
            <w:noWrap w:val="0"/>
            <w:vAlign w:val="center"/>
          </w:tcPr>
          <w:p>
            <w:pPr>
              <w:widowControl w:val="0"/>
              <w:snapToGrid w:val="0"/>
              <w:spacing w:line="400" w:lineRule="exact"/>
              <w:jc w:val="center"/>
              <w:rPr>
                <w:rFonts w:ascii="Times New Roman" w:hAnsi="Times New Roman" w:eastAsia="Microsoft JhengHei" w:cs="Times New Roman"/>
                <w:b/>
                <w:snapToGrid w:val="0"/>
                <w:kern w:val="2"/>
                <w:sz w:val="21"/>
                <w:szCs w:val="24"/>
                <w:lang w:val="en-US" w:eastAsia="zh-CN" w:bidi="ar-SA"/>
              </w:rPr>
            </w:pPr>
            <w:r>
              <w:rPr>
                <w:rFonts w:hint="eastAsia" w:ascii="Times New Roman" w:hAnsi="Times New Roman" w:eastAsia="Microsoft JhengHei" w:cs="Times New Roman"/>
                <w:b/>
                <w:snapToGrid w:val="0"/>
                <w:kern w:val="2"/>
                <w:sz w:val="21"/>
                <w:szCs w:val="24"/>
                <w:lang w:val="en-US" w:eastAsia="zh-CN" w:bidi="ar-SA"/>
              </w:rPr>
              <w:t>裁量等级</w:t>
            </w:r>
          </w:p>
        </w:tc>
        <w:tc>
          <w:tcPr>
            <w:tcW w:w="2607"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减轻处罚幅度</w:t>
            </w:r>
          </w:p>
        </w:tc>
        <w:tc>
          <w:tcPr>
            <w:tcW w:w="3018"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从轻处罚幅度</w:t>
            </w:r>
          </w:p>
        </w:tc>
        <w:tc>
          <w:tcPr>
            <w:tcW w:w="3000"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一般处罚幅度</w:t>
            </w:r>
          </w:p>
        </w:tc>
        <w:tc>
          <w:tcPr>
            <w:tcW w:w="3244"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638"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612" w:type="dxa"/>
            <w:tcBorders>
              <w:top w:val="single" w:color="000000" w:sz="8" w:space="0"/>
              <w:left w:val="single" w:color="000000" w:sz="8" w:space="0"/>
              <w:bottom w:val="single" w:color="000000" w:sz="8" w:space="0"/>
              <w:right w:val="single" w:color="000000" w:sz="8" w:space="0"/>
            </w:tcBorders>
            <w:noWrap w:val="0"/>
            <w:vAlign w:val="center"/>
          </w:tcPr>
          <w:p>
            <w:pPr>
              <w:widowControl w:val="0"/>
              <w:snapToGrid w:val="0"/>
              <w:spacing w:line="400" w:lineRule="exact"/>
              <w:jc w:val="center"/>
              <w:rPr>
                <w:rFonts w:ascii="Times New Roman" w:hAnsi="Times New Roman" w:eastAsia="Microsoft JhengHei" w:cs="Times New Roman"/>
                <w:b/>
                <w:snapToGrid w:val="0"/>
                <w:color w:val="000000"/>
                <w:kern w:val="2"/>
                <w:sz w:val="21"/>
                <w:szCs w:val="24"/>
                <w:lang w:val="en-US" w:eastAsia="zh-CN" w:bidi="ar-SA"/>
              </w:rPr>
            </w:pPr>
            <w:r>
              <w:rPr>
                <w:rFonts w:hint="eastAsia" w:ascii="Times New Roman" w:hAnsi="Times New Roman" w:eastAsia="Microsoft JhengHei" w:cs="Times New Roman"/>
                <w:b/>
                <w:snapToGrid w:val="0"/>
                <w:color w:val="000000"/>
                <w:kern w:val="2"/>
                <w:sz w:val="21"/>
                <w:szCs w:val="24"/>
                <w:lang w:val="en-US" w:eastAsia="zh-CN" w:bidi="ar-SA"/>
              </w:rPr>
              <w:t>裁量基准</w:t>
            </w:r>
          </w:p>
        </w:tc>
        <w:tc>
          <w:tcPr>
            <w:tcW w:w="2607"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p>
        </w:tc>
        <w:tc>
          <w:tcPr>
            <w:tcW w:w="3018"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从轻行政处罚，处5000元至6500万元的罚款。</w:t>
            </w:r>
          </w:p>
        </w:tc>
        <w:tc>
          <w:tcPr>
            <w:tcW w:w="3000"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r>
              <w:rPr>
                <w:rFonts w:hint="eastAsia"/>
                <w:sz w:val="21"/>
                <w:lang w:val="en-US" w:eastAsia="zh-CN"/>
              </w:rPr>
              <w:t>一般行政处罚，处6500元以上8500元以下的罚款。</w:t>
            </w:r>
          </w:p>
        </w:tc>
        <w:tc>
          <w:tcPr>
            <w:tcW w:w="3244"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从重行政处罚，处8500元至1万元的罚款。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0" w:hRule="atLeast"/>
        </w:trPr>
        <w:tc>
          <w:tcPr>
            <w:tcW w:w="638" w:type="dxa"/>
            <w:vMerge w:val="continue"/>
            <w:tcBorders>
              <w:right w:val="single" w:color="000000" w:sz="8" w:space="0"/>
            </w:tcBorders>
            <w:noWrap w:val="0"/>
            <w:vAlign w:val="center"/>
          </w:tcPr>
          <w:p>
            <w:pPr>
              <w:autoSpaceDE/>
              <w:autoSpaceDN/>
              <w:snapToGrid w:val="0"/>
              <w:spacing w:line="400" w:lineRule="exact"/>
              <w:jc w:val="both"/>
              <w:rPr>
                <w:rFonts w:ascii="Times New Roman" w:hAnsi="Times New Roman" w:cs="Times New Roman"/>
                <w:snapToGrid w:val="0"/>
                <w:kern w:val="2"/>
                <w:sz w:val="2"/>
                <w:szCs w:val="2"/>
                <w:lang w:val="en-US" w:bidi="ar-SA"/>
              </w:rPr>
            </w:pPr>
          </w:p>
        </w:tc>
        <w:tc>
          <w:tcPr>
            <w:tcW w:w="1612" w:type="dxa"/>
            <w:tcBorders>
              <w:top w:val="single" w:color="000000" w:sz="8" w:space="0"/>
              <w:left w:val="single" w:color="000000" w:sz="8" w:space="0"/>
              <w:bottom w:val="single" w:color="000000" w:sz="8"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80" w:lineRule="exact"/>
              <w:jc w:val="both"/>
              <w:textAlignment w:val="auto"/>
              <w:rPr>
                <w:rFonts w:hint="eastAsia" w:ascii="Times New Roman" w:hAnsi="Times New Roman" w:eastAsia="宋体" w:cs="Times New Roman"/>
                <w:snapToGrid w:val="0"/>
                <w:kern w:val="2"/>
                <w:sz w:val="21"/>
                <w:szCs w:val="24"/>
                <w:lang w:val="en-US" w:eastAsia="zh-CN" w:bidi="ar-SA"/>
              </w:rPr>
            </w:pPr>
            <w:r>
              <w:rPr>
                <w:rFonts w:hint="eastAsia" w:ascii="Times New Roman" w:hAnsi="Times New Roman" w:eastAsia="Microsoft JhengHei" w:cs="Times New Roman"/>
                <w:b/>
                <w:snapToGrid w:val="0"/>
                <w:kern w:val="2"/>
                <w:sz w:val="21"/>
                <w:szCs w:val="24"/>
                <w:lang w:val="en-US" w:eastAsia="zh-CN" w:bidi="ar-SA"/>
              </w:rPr>
              <w:t>裁量因素</w:t>
            </w:r>
            <w:r>
              <w:rPr>
                <w:rFonts w:hint="eastAsia" w:ascii="Times New Roman" w:hAnsi="Times New Roman" w:eastAsia="Microsoft JhengHei" w:cs="Times New Roman"/>
                <w:bCs/>
                <w:snapToGrid w:val="0"/>
                <w:kern w:val="2"/>
                <w:sz w:val="21"/>
                <w:szCs w:val="24"/>
                <w:lang w:val="en-US" w:eastAsia="zh-CN" w:bidi="ar-SA"/>
              </w:rPr>
              <w:t>（是指在进行裁量时，除裁量规则规定的从轻、减轻、从重情形外，可以考虑的因素）</w:t>
            </w:r>
          </w:p>
        </w:tc>
        <w:tc>
          <w:tcPr>
            <w:tcW w:w="11869" w:type="dxa"/>
            <w:gridSpan w:val="4"/>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rPr>
                <w:rFonts w:hint="eastAsia" w:ascii="宋体" w:hAnsi="宋体" w:eastAsia="宋体" w:cs="宋体"/>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从轻处罚考虑因素：</w:t>
            </w:r>
            <w:r>
              <w:rPr>
                <w:rFonts w:hint="eastAsia" w:ascii="宋体" w:hAnsi="宋体" w:eastAsia="宋体" w:cs="宋体"/>
                <w:b w:val="0"/>
                <w:bCs w:val="0"/>
                <w:snapToGrid w:val="0"/>
                <w:color w:val="000000"/>
                <w:kern w:val="0"/>
                <w:sz w:val="21"/>
                <w:szCs w:val="21"/>
                <w:lang w:val="en-US" w:eastAsia="zh-CN" w:bidi="ar"/>
              </w:rPr>
              <w:t>逾期不超过十日的</w:t>
            </w:r>
            <w:r>
              <w:rPr>
                <w:rFonts w:hint="eastAsia" w:ascii="Times New Roman" w:hAnsi="Times New Roman" w:cs="宋体"/>
                <w:b w:val="0"/>
                <w:bCs w:val="0"/>
                <w:snapToGrid w:val="0"/>
                <w:color w:val="000000"/>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pacing w:line="240" w:lineRule="auto"/>
              <w:jc w:val="left"/>
              <w:rPr>
                <w:rFonts w:hint="default" w:ascii="宋体" w:hAnsi="宋体" w:eastAsia="宋体" w:cs="宋体"/>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从重处罚考虑因素：</w:t>
            </w:r>
            <w:r>
              <w:rPr>
                <w:rFonts w:hint="eastAsia" w:ascii="宋体" w:hAnsi="宋体" w:eastAsia="宋体" w:cs="宋体"/>
                <w:b w:val="0"/>
                <w:bCs w:val="0"/>
                <w:snapToGrid w:val="0"/>
                <w:color w:val="000000"/>
                <w:kern w:val="0"/>
                <w:sz w:val="21"/>
                <w:szCs w:val="21"/>
                <w:lang w:val="en-US" w:eastAsia="zh-CN" w:bidi="ar"/>
              </w:rPr>
              <w:t>逾期超过</w:t>
            </w:r>
            <w:r>
              <w:rPr>
                <w:rFonts w:hint="eastAsia" w:cs="宋体"/>
                <w:b w:val="0"/>
                <w:bCs w:val="0"/>
                <w:snapToGrid w:val="0"/>
                <w:color w:val="000000"/>
                <w:kern w:val="0"/>
                <w:sz w:val="21"/>
                <w:szCs w:val="21"/>
                <w:lang w:val="en-US" w:eastAsia="zh-CN" w:bidi="ar"/>
              </w:rPr>
              <w:t>三十日</w:t>
            </w:r>
            <w:r>
              <w:rPr>
                <w:rFonts w:hint="eastAsia" w:ascii="宋体" w:hAnsi="宋体" w:eastAsia="宋体" w:cs="宋体"/>
                <w:b w:val="0"/>
                <w:bCs w:val="0"/>
                <w:snapToGrid w:val="0"/>
                <w:color w:val="000000"/>
                <w:kern w:val="0"/>
                <w:sz w:val="21"/>
                <w:szCs w:val="21"/>
                <w:lang w:val="en-US" w:eastAsia="zh-CN" w:bidi="ar"/>
              </w:rPr>
              <w:t>的</w:t>
            </w:r>
            <w:r>
              <w:rPr>
                <w:rFonts w:hint="eastAsia" w:ascii="Times New Roman" w:hAnsi="Times New Roman" w:cs="宋体"/>
                <w:b w:val="0"/>
                <w:bCs w:val="0"/>
                <w:snapToGrid w:val="0"/>
                <w:color w:val="000000"/>
                <w:kern w:val="0"/>
                <w:sz w:val="21"/>
                <w:szCs w:val="21"/>
                <w:lang w:val="en-US" w:eastAsia="zh-CN" w:bidi="ar"/>
              </w:rPr>
              <w:t>。</w:t>
            </w:r>
          </w:p>
          <w:p>
            <w:pPr>
              <w:widowControl w:val="0"/>
              <w:snapToGrid w:val="0"/>
              <w:spacing w:line="400" w:lineRule="exact"/>
              <w:jc w:val="both"/>
              <w:rPr>
                <w:rFonts w:hint="eastAsia" w:ascii="Times New Roman" w:hAnsi="Times New Roman" w:eastAsia="宋体" w:cs="Times New Roman"/>
                <w:snapToGrid w:val="0"/>
                <w:kern w:val="2"/>
                <w:sz w:val="21"/>
                <w:szCs w:val="24"/>
                <w:lang w:val="en-US" w:eastAsia="zh-CN" w:bidi="ar-SA"/>
              </w:rPr>
            </w:pPr>
          </w:p>
        </w:tc>
      </w:tr>
    </w:tbl>
    <w:p>
      <w:pPr>
        <w:pStyle w:val="11"/>
        <w:keepNext w:val="0"/>
        <w:keepLines w:val="0"/>
        <w:pageBreakBefore w:val="0"/>
        <w:widowControl w:val="0"/>
        <w:kinsoku/>
        <w:wordWrap/>
        <w:overflowPunct/>
        <w:topLinePunct w:val="0"/>
        <w:autoSpaceDE w:val="0"/>
        <w:autoSpaceDN w:val="0"/>
        <w:bidi w:val="0"/>
        <w:adjustRightInd/>
        <w:snapToGrid/>
        <w:spacing w:line="240" w:lineRule="auto"/>
        <w:ind w:right="0" w:firstLine="421" w:firstLineChars="200"/>
        <w:jc w:val="both"/>
        <w:textAlignment w:val="auto"/>
        <w:rPr>
          <w:rFonts w:hint="eastAsia" w:ascii="Microsoft JhengHei"/>
          <w:b/>
          <w:sz w:val="21"/>
          <w:lang w:val="en-US" w:eastAsia="zh-CN"/>
        </w:rPr>
        <w:sectPr>
          <w:pgSz w:w="16838" w:h="11906" w:orient="landscape"/>
          <w:pgMar w:top="1800" w:right="1440" w:bottom="1800" w:left="1440" w:header="851" w:footer="992" w:gutter="0"/>
          <w:pgNumType w:fmt="decimal"/>
          <w:cols w:space="720" w:num="1"/>
          <w:docGrid w:type="lines" w:linePitch="312" w:charSpace="0"/>
        </w:sectPr>
      </w:pPr>
    </w:p>
    <w:tbl>
      <w:tblPr>
        <w:tblStyle w:val="8"/>
        <w:tblpPr w:leftFromText="180" w:rightFromText="180" w:vertAnchor="page" w:horzAnchor="page" w:tblpX="1549" w:tblpY="2217"/>
        <w:tblOverlap w:val="never"/>
        <w:tblW w:w="141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7"/>
        <w:gridCol w:w="1593"/>
        <w:gridCol w:w="2625"/>
        <w:gridCol w:w="3019"/>
        <w:gridCol w:w="3000"/>
        <w:gridCol w:w="3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 w:hRule="atLeast"/>
        </w:trPr>
        <w:tc>
          <w:tcPr>
            <w:tcW w:w="657" w:type="dxa"/>
            <w:vMerge w:val="restart"/>
            <w:tcBorders>
              <w:top w:val="single" w:color="auto" w:sz="4" w:space="0"/>
              <w:bottom w:val="nil"/>
              <w:right w:val="single" w:color="000000" w:sz="8" w:space="0"/>
            </w:tcBorders>
            <w:noWrap w:val="0"/>
            <w:vAlign w:val="center"/>
          </w:tcPr>
          <w:p>
            <w:pPr>
              <w:widowControl w:val="0"/>
              <w:snapToGrid w:val="0"/>
              <w:spacing w:line="400" w:lineRule="exact"/>
              <w:jc w:val="center"/>
              <w:rPr>
                <w:rFonts w:hint="default" w:ascii="Times New Roman" w:hAnsi="Times New Roman" w:eastAsia="宋体" w:cs="Times New Roman"/>
                <w:b/>
                <w:snapToGrid w:val="0"/>
                <w:kern w:val="2"/>
                <w:sz w:val="21"/>
                <w:szCs w:val="24"/>
                <w:lang w:val="en-US" w:eastAsia="zh-CN" w:bidi="ar-SA"/>
              </w:rPr>
            </w:pPr>
            <w:r>
              <w:rPr>
                <w:rFonts w:hint="eastAsia" w:ascii="Times New Roman" w:hAnsi="Times New Roman" w:cs="Times New Roman"/>
                <w:b/>
                <w:snapToGrid w:val="0"/>
                <w:kern w:val="2"/>
                <w:sz w:val="21"/>
                <w:szCs w:val="24"/>
                <w:lang w:val="en-US" w:eastAsia="zh-CN" w:bidi="ar-SA"/>
              </w:rPr>
              <w:t>10</w:t>
            </w:r>
          </w:p>
        </w:tc>
        <w:tc>
          <w:tcPr>
            <w:tcW w:w="1593" w:type="dxa"/>
            <w:noWrap w:val="0"/>
            <w:vAlign w:val="center"/>
          </w:tcPr>
          <w:p>
            <w:pPr>
              <w:widowControl w:val="0"/>
              <w:snapToGrid w:val="0"/>
              <w:spacing w:line="400" w:lineRule="exact"/>
              <w:jc w:val="center"/>
              <w:rPr>
                <w:rFonts w:hint="eastAsia" w:ascii="Times New Roman" w:hAnsi="Times New Roman" w:eastAsia="宋体" w:cs="Times New Roman"/>
                <w:b/>
                <w:snapToGrid w:val="0"/>
                <w:kern w:val="2"/>
                <w:sz w:val="21"/>
                <w:szCs w:val="24"/>
                <w:lang w:val="en-US" w:eastAsia="zh-CN" w:bidi="ar-SA"/>
              </w:rPr>
            </w:pPr>
            <w:r>
              <w:rPr>
                <w:rFonts w:hint="eastAsia" w:ascii="Times New Roman" w:hAnsi="Times New Roman" w:eastAsia="宋体" w:cs="Times New Roman"/>
                <w:b/>
                <w:snapToGrid w:val="0"/>
                <w:kern w:val="2"/>
                <w:sz w:val="21"/>
                <w:szCs w:val="24"/>
                <w:lang w:val="en-US" w:eastAsia="zh-CN" w:bidi="ar-SA"/>
              </w:rPr>
              <w:t>裁量条款</w:t>
            </w:r>
          </w:p>
        </w:tc>
        <w:tc>
          <w:tcPr>
            <w:tcW w:w="11888" w:type="dxa"/>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ascii="Times New Roman" w:hAnsi="Times New Roman" w:eastAsia="宋体" w:cs="Times New Roman"/>
                <w:b/>
                <w:snapToGrid w:val="0"/>
                <w:kern w:val="2"/>
                <w:sz w:val="21"/>
                <w:szCs w:val="24"/>
                <w:lang w:val="en-US" w:eastAsia="zh-CN" w:bidi="ar-SA"/>
              </w:rPr>
            </w:pPr>
            <w:r>
              <w:rPr>
                <w:rFonts w:hint="eastAsia" w:ascii="Microsoft JhengHei"/>
                <w:b/>
                <w:sz w:val="21"/>
                <w:lang w:val="en-US" w:eastAsia="zh-CN"/>
              </w:rPr>
              <w:t>第十条  本条是对《互联网药品信息服务管理办法》第二十四条“处以1000以下的罚款”裁量基准的规定。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2" w:hRule="atLeast"/>
        </w:trPr>
        <w:tc>
          <w:tcPr>
            <w:tcW w:w="657"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593" w:type="dxa"/>
            <w:noWrap w:val="0"/>
            <w:vAlign w:val="center"/>
          </w:tcPr>
          <w:p>
            <w:pPr>
              <w:widowControl w:val="0"/>
              <w:snapToGrid w:val="0"/>
              <w:spacing w:line="400" w:lineRule="exact"/>
              <w:jc w:val="center"/>
              <w:rPr>
                <w:rFonts w:hint="eastAsia" w:ascii="Times New Roman" w:hAnsi="Times New Roman" w:eastAsia="宋体" w:cs="Times New Roman"/>
                <w:b/>
                <w:snapToGrid w:val="0"/>
                <w:kern w:val="2"/>
                <w:sz w:val="21"/>
                <w:szCs w:val="24"/>
                <w:lang w:val="en-US" w:eastAsia="zh-CN" w:bidi="ar-SA"/>
              </w:rPr>
            </w:pPr>
            <w:r>
              <w:rPr>
                <w:rFonts w:hint="eastAsia" w:ascii="Times New Roman" w:hAnsi="Times New Roman" w:eastAsia="宋体" w:cs="Times New Roman"/>
                <w:b/>
                <w:snapToGrid w:val="0"/>
                <w:kern w:val="2"/>
                <w:sz w:val="21"/>
                <w:szCs w:val="24"/>
                <w:lang w:val="en-US" w:eastAsia="zh-CN" w:bidi="ar-SA"/>
              </w:rPr>
              <w:t>关联法条</w:t>
            </w:r>
          </w:p>
        </w:tc>
        <w:tc>
          <w:tcPr>
            <w:tcW w:w="11888" w:type="dxa"/>
            <w:gridSpan w:val="4"/>
            <w:tcBorders>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eastAsia"/>
                <w:sz w:val="21"/>
                <w:lang w:val="en-US" w:eastAsia="zh-CN"/>
              </w:rPr>
            </w:pPr>
            <w:r>
              <w:rPr>
                <w:rFonts w:hint="eastAsia"/>
                <w:sz w:val="21"/>
                <w:lang w:val="en-US" w:eastAsia="zh-CN"/>
              </w:rPr>
              <w:t>《互联网药品信息服务管理办法》第二十四条 互联网药品信息服务提供者违反本办法，有下列情形之一的，由国家食品药品监督管理总局或者省、自治区、直辖市食品药品监督管理部门给予警告，责令限期改正；情节严重的，对提供非经营性互联网药品信息服务的网站处以1000元以下罚款，对提供经营性互联网药品信息服务的网站处以1万元以上3万元以下罚款；构成犯罪的，移送司法部门追究刑事责任：</w:t>
            </w:r>
          </w:p>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eastAsia"/>
                <w:sz w:val="21"/>
                <w:lang w:val="en-US" w:eastAsia="zh-CN"/>
              </w:rPr>
            </w:pPr>
            <w:r>
              <w:rPr>
                <w:rFonts w:hint="eastAsia"/>
                <w:sz w:val="21"/>
                <w:lang w:val="en-US" w:eastAsia="zh-CN"/>
              </w:rPr>
              <w:t>（一）已经获得《互联网药品信息服务资格证书》，但提供的药品信息直接撮合药品网上交易的；</w:t>
            </w:r>
          </w:p>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eastAsia"/>
                <w:sz w:val="21"/>
                <w:lang w:val="en-US" w:eastAsia="zh-CN"/>
              </w:rPr>
            </w:pPr>
            <w:r>
              <w:rPr>
                <w:rFonts w:hint="eastAsia"/>
                <w:sz w:val="21"/>
                <w:lang w:val="en-US" w:eastAsia="zh-CN"/>
              </w:rPr>
              <w:t>（二）已经获得《互联网药品信息服务资格证书》，但超出审核同意的范围提供互联网药品信息服务的；</w:t>
            </w:r>
          </w:p>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eastAsia"/>
                <w:sz w:val="21"/>
                <w:lang w:val="en-US" w:eastAsia="zh-CN"/>
              </w:rPr>
            </w:pPr>
            <w:r>
              <w:rPr>
                <w:rFonts w:hint="eastAsia"/>
                <w:sz w:val="21"/>
                <w:lang w:val="en-US" w:eastAsia="zh-CN"/>
              </w:rPr>
              <w:t>（三）提供不真实互联网药品信息服务并造成不良社会影响的；</w:t>
            </w:r>
          </w:p>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ascii="Times New Roman" w:hAnsi="Times New Roman" w:eastAsia="宋体" w:cs="Times New Roman"/>
                <w:snapToGrid w:val="0"/>
                <w:kern w:val="2"/>
                <w:sz w:val="21"/>
                <w:szCs w:val="24"/>
                <w:lang w:val="en-US" w:eastAsia="zh-CN" w:bidi="ar-SA"/>
              </w:rPr>
            </w:pPr>
            <w:r>
              <w:rPr>
                <w:rFonts w:hint="eastAsia"/>
                <w:sz w:val="21"/>
                <w:lang w:val="en-US" w:eastAsia="zh-CN"/>
              </w:rPr>
              <w:t>（四）擅自变更互联网药品信息服务项目的。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657"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593" w:type="dxa"/>
            <w:tcBorders>
              <w:top w:val="single" w:color="000000" w:sz="8" w:space="0"/>
              <w:left w:val="single" w:color="000000" w:sz="8" w:space="0"/>
              <w:bottom w:val="single" w:color="000000" w:sz="8" w:space="0"/>
              <w:right w:val="single" w:color="000000" w:sz="8" w:space="0"/>
            </w:tcBorders>
            <w:noWrap w:val="0"/>
            <w:vAlign w:val="center"/>
          </w:tcPr>
          <w:p>
            <w:pPr>
              <w:widowControl w:val="0"/>
              <w:snapToGrid w:val="0"/>
              <w:spacing w:line="400" w:lineRule="exact"/>
              <w:jc w:val="center"/>
              <w:rPr>
                <w:rFonts w:ascii="Times New Roman" w:hAnsi="Times New Roman" w:eastAsia="Microsoft JhengHei" w:cs="Times New Roman"/>
                <w:b/>
                <w:snapToGrid w:val="0"/>
                <w:kern w:val="2"/>
                <w:sz w:val="21"/>
                <w:szCs w:val="24"/>
                <w:lang w:val="en-US" w:eastAsia="zh-CN" w:bidi="ar-SA"/>
              </w:rPr>
            </w:pPr>
            <w:r>
              <w:rPr>
                <w:rFonts w:hint="eastAsia" w:ascii="Times New Roman" w:hAnsi="Times New Roman" w:eastAsia="Microsoft JhengHei" w:cs="Times New Roman"/>
                <w:b/>
                <w:snapToGrid w:val="0"/>
                <w:kern w:val="2"/>
                <w:sz w:val="21"/>
                <w:szCs w:val="24"/>
                <w:lang w:val="en-US" w:eastAsia="zh-CN" w:bidi="ar-SA"/>
              </w:rPr>
              <w:t>裁量等级</w:t>
            </w:r>
          </w:p>
        </w:tc>
        <w:tc>
          <w:tcPr>
            <w:tcW w:w="2625"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减轻处罚幅度</w:t>
            </w:r>
          </w:p>
        </w:tc>
        <w:tc>
          <w:tcPr>
            <w:tcW w:w="3019"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从轻处罚幅度</w:t>
            </w:r>
          </w:p>
        </w:tc>
        <w:tc>
          <w:tcPr>
            <w:tcW w:w="3000"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一般处罚幅度</w:t>
            </w:r>
          </w:p>
        </w:tc>
        <w:tc>
          <w:tcPr>
            <w:tcW w:w="3244"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657"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593" w:type="dxa"/>
            <w:tcBorders>
              <w:top w:val="single" w:color="000000" w:sz="8" w:space="0"/>
              <w:left w:val="single" w:color="000000" w:sz="8" w:space="0"/>
              <w:bottom w:val="single" w:color="000000" w:sz="8" w:space="0"/>
              <w:right w:val="single" w:color="000000" w:sz="8" w:space="0"/>
            </w:tcBorders>
            <w:noWrap w:val="0"/>
            <w:vAlign w:val="center"/>
          </w:tcPr>
          <w:p>
            <w:pPr>
              <w:widowControl w:val="0"/>
              <w:snapToGrid w:val="0"/>
              <w:spacing w:line="400" w:lineRule="exact"/>
              <w:jc w:val="center"/>
              <w:rPr>
                <w:rFonts w:ascii="Times New Roman" w:hAnsi="Times New Roman" w:eastAsia="Microsoft JhengHei" w:cs="Times New Roman"/>
                <w:b/>
                <w:snapToGrid w:val="0"/>
                <w:color w:val="000000"/>
                <w:kern w:val="2"/>
                <w:sz w:val="21"/>
                <w:szCs w:val="24"/>
                <w:lang w:val="en-US" w:eastAsia="zh-CN" w:bidi="ar-SA"/>
              </w:rPr>
            </w:pPr>
            <w:r>
              <w:rPr>
                <w:rFonts w:hint="eastAsia" w:ascii="Times New Roman" w:hAnsi="Times New Roman" w:eastAsia="Microsoft JhengHei" w:cs="Times New Roman"/>
                <w:b/>
                <w:snapToGrid w:val="0"/>
                <w:color w:val="000000"/>
                <w:kern w:val="2"/>
                <w:sz w:val="21"/>
                <w:szCs w:val="24"/>
                <w:lang w:val="en-US" w:eastAsia="zh-CN" w:bidi="ar-SA"/>
              </w:rPr>
              <w:t>裁量基准</w:t>
            </w:r>
          </w:p>
        </w:tc>
        <w:tc>
          <w:tcPr>
            <w:tcW w:w="2625"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p>
        </w:tc>
        <w:tc>
          <w:tcPr>
            <w:tcW w:w="3019"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从轻行政处罚，处100元至300元的罚款。</w:t>
            </w:r>
          </w:p>
        </w:tc>
        <w:tc>
          <w:tcPr>
            <w:tcW w:w="3000"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r>
              <w:rPr>
                <w:rFonts w:hint="eastAsia"/>
                <w:sz w:val="21"/>
                <w:lang w:val="en-US" w:eastAsia="zh-CN"/>
              </w:rPr>
              <w:t>一般行政处罚，处300元以上700元以下的罚款。</w:t>
            </w:r>
          </w:p>
        </w:tc>
        <w:tc>
          <w:tcPr>
            <w:tcW w:w="3244"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从重行政处罚，处700元至1000元的罚款。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0" w:hRule="atLeast"/>
        </w:trPr>
        <w:tc>
          <w:tcPr>
            <w:tcW w:w="657" w:type="dxa"/>
            <w:vMerge w:val="continue"/>
            <w:tcBorders>
              <w:right w:val="single" w:color="000000" w:sz="8" w:space="0"/>
            </w:tcBorders>
            <w:noWrap w:val="0"/>
            <w:vAlign w:val="center"/>
          </w:tcPr>
          <w:p>
            <w:pPr>
              <w:autoSpaceDE/>
              <w:autoSpaceDN/>
              <w:snapToGrid w:val="0"/>
              <w:spacing w:line="400" w:lineRule="exact"/>
              <w:jc w:val="both"/>
              <w:rPr>
                <w:rFonts w:ascii="Times New Roman" w:hAnsi="Times New Roman" w:cs="Times New Roman"/>
                <w:snapToGrid w:val="0"/>
                <w:kern w:val="2"/>
                <w:sz w:val="2"/>
                <w:szCs w:val="2"/>
                <w:lang w:val="en-US" w:bidi="ar-SA"/>
              </w:rPr>
            </w:pPr>
          </w:p>
        </w:tc>
        <w:tc>
          <w:tcPr>
            <w:tcW w:w="1593" w:type="dxa"/>
            <w:tcBorders>
              <w:top w:val="single" w:color="000000" w:sz="8" w:space="0"/>
              <w:left w:val="single" w:color="000000" w:sz="8"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80" w:lineRule="exact"/>
              <w:jc w:val="both"/>
              <w:textAlignment w:val="auto"/>
              <w:rPr>
                <w:rFonts w:hint="eastAsia" w:ascii="Times New Roman" w:hAnsi="Times New Roman" w:eastAsia="宋体" w:cs="Times New Roman"/>
                <w:snapToGrid w:val="0"/>
                <w:kern w:val="2"/>
                <w:sz w:val="21"/>
                <w:szCs w:val="24"/>
                <w:lang w:val="en-US" w:eastAsia="zh-CN" w:bidi="ar-SA"/>
              </w:rPr>
            </w:pPr>
            <w:r>
              <w:rPr>
                <w:rFonts w:hint="eastAsia" w:ascii="Times New Roman" w:hAnsi="Times New Roman" w:eastAsia="Microsoft JhengHei" w:cs="Times New Roman"/>
                <w:b/>
                <w:snapToGrid w:val="0"/>
                <w:kern w:val="2"/>
                <w:sz w:val="21"/>
                <w:szCs w:val="24"/>
                <w:lang w:val="en-US" w:eastAsia="zh-CN" w:bidi="ar-SA"/>
              </w:rPr>
              <w:t>裁量因素</w:t>
            </w:r>
            <w:r>
              <w:rPr>
                <w:rFonts w:hint="eastAsia" w:ascii="Times New Roman" w:hAnsi="Times New Roman" w:eastAsia="Microsoft JhengHei" w:cs="Times New Roman"/>
                <w:bCs/>
                <w:snapToGrid w:val="0"/>
                <w:kern w:val="2"/>
                <w:sz w:val="21"/>
                <w:szCs w:val="24"/>
                <w:lang w:val="en-US" w:eastAsia="zh-CN" w:bidi="ar-SA"/>
              </w:rPr>
              <w:t>（是指在进行裁量时，除裁量规则规定的从轻、减轻、从重情形外，可以考虑的因素）</w:t>
            </w:r>
          </w:p>
        </w:tc>
        <w:tc>
          <w:tcPr>
            <w:tcW w:w="11888" w:type="dxa"/>
            <w:gridSpan w:val="4"/>
            <w:tcBorders>
              <w:top w:val="single" w:color="000000" w:sz="8" w:space="0"/>
              <w:left w:val="single" w:color="auto" w:sz="4" w:space="0"/>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rPr>
                <w:rFonts w:hint="eastAsia" w:ascii="宋体" w:hAnsi="宋体" w:eastAsia="宋体" w:cs="宋体"/>
                <w:snapToGrid w:val="0"/>
                <w:color w:val="000000"/>
                <w:kern w:val="0"/>
                <w:sz w:val="21"/>
                <w:szCs w:val="21"/>
                <w:lang w:val="en-US" w:eastAsia="zh-CN" w:bidi="ar"/>
              </w:rPr>
            </w:pPr>
            <w:bookmarkStart w:id="1" w:name="No2228_T144K4X2"/>
            <w:bookmarkEnd w:id="1"/>
            <w:bookmarkStart w:id="2" w:name="No2224_T144K3X2"/>
            <w:bookmarkEnd w:id="2"/>
          </w:p>
          <w:p>
            <w:pPr>
              <w:widowControl w:val="0"/>
              <w:snapToGrid w:val="0"/>
              <w:spacing w:line="400" w:lineRule="exact"/>
              <w:jc w:val="both"/>
              <w:rPr>
                <w:rFonts w:hint="eastAsia" w:ascii="Times New Roman" w:hAnsi="Times New Roman" w:eastAsia="宋体" w:cs="Times New Roman"/>
                <w:snapToGrid w:val="0"/>
                <w:kern w:val="2"/>
                <w:sz w:val="21"/>
                <w:szCs w:val="24"/>
                <w:lang w:val="en-US" w:eastAsia="zh-CN" w:bidi="ar-SA"/>
              </w:rPr>
            </w:pPr>
          </w:p>
        </w:tc>
      </w:tr>
    </w:tbl>
    <w:p>
      <w:pPr>
        <w:pStyle w:val="11"/>
        <w:keepNext w:val="0"/>
        <w:keepLines w:val="0"/>
        <w:pageBreakBefore w:val="0"/>
        <w:widowControl w:val="0"/>
        <w:kinsoku/>
        <w:wordWrap/>
        <w:overflowPunct/>
        <w:topLinePunct w:val="0"/>
        <w:autoSpaceDE w:val="0"/>
        <w:autoSpaceDN w:val="0"/>
        <w:bidi w:val="0"/>
        <w:adjustRightInd/>
        <w:snapToGrid/>
        <w:spacing w:line="240" w:lineRule="auto"/>
        <w:ind w:right="0" w:firstLine="421" w:firstLineChars="200"/>
        <w:jc w:val="both"/>
        <w:textAlignment w:val="auto"/>
        <w:rPr>
          <w:rFonts w:hint="eastAsia" w:ascii="Microsoft JhengHei"/>
          <w:b/>
          <w:sz w:val="21"/>
          <w:lang w:val="en-US" w:eastAsia="zh-CN"/>
        </w:rPr>
        <w:sectPr>
          <w:pgSz w:w="16838" w:h="11906" w:orient="landscape"/>
          <w:pgMar w:top="1800" w:right="1440" w:bottom="1800" w:left="1440" w:header="851" w:footer="992" w:gutter="0"/>
          <w:pgNumType w:fmt="decimal"/>
          <w:cols w:space="720" w:num="1"/>
          <w:docGrid w:type="lines" w:linePitch="312" w:charSpace="0"/>
        </w:sectPr>
      </w:pPr>
    </w:p>
    <w:tbl>
      <w:tblPr>
        <w:tblStyle w:val="8"/>
        <w:tblpPr w:leftFromText="180" w:rightFromText="180" w:vertAnchor="page" w:horzAnchor="page" w:tblpX="1529" w:tblpY="2106"/>
        <w:tblOverlap w:val="never"/>
        <w:tblW w:w="141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1605"/>
        <w:gridCol w:w="2655"/>
        <w:gridCol w:w="3000"/>
        <w:gridCol w:w="3015"/>
        <w:gridCol w:w="3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60" w:type="dxa"/>
            <w:vMerge w:val="restart"/>
            <w:tcBorders>
              <w:top w:val="single" w:color="auto" w:sz="4" w:space="0"/>
              <w:bottom w:val="nil"/>
              <w:right w:val="single" w:color="000000" w:sz="8" w:space="0"/>
            </w:tcBorders>
            <w:noWrap w:val="0"/>
            <w:vAlign w:val="center"/>
          </w:tcPr>
          <w:p>
            <w:pPr>
              <w:widowControl w:val="0"/>
              <w:snapToGrid w:val="0"/>
              <w:spacing w:line="400" w:lineRule="exact"/>
              <w:jc w:val="center"/>
              <w:rPr>
                <w:rFonts w:hint="default" w:ascii="Times New Roman" w:hAnsi="Times New Roman" w:eastAsia="宋体" w:cs="Times New Roman"/>
                <w:b/>
                <w:snapToGrid w:val="0"/>
                <w:kern w:val="2"/>
                <w:sz w:val="21"/>
                <w:szCs w:val="24"/>
                <w:lang w:val="en-US" w:eastAsia="zh-CN" w:bidi="ar-SA"/>
              </w:rPr>
            </w:pPr>
            <w:r>
              <w:rPr>
                <w:rFonts w:hint="eastAsia" w:ascii="Times New Roman" w:hAnsi="Times New Roman" w:cs="Times New Roman"/>
                <w:b/>
                <w:snapToGrid w:val="0"/>
                <w:kern w:val="2"/>
                <w:sz w:val="21"/>
                <w:szCs w:val="24"/>
                <w:lang w:val="en-US" w:eastAsia="zh-CN" w:bidi="ar-SA"/>
              </w:rPr>
              <w:t>11</w:t>
            </w:r>
          </w:p>
        </w:tc>
        <w:tc>
          <w:tcPr>
            <w:tcW w:w="1605" w:type="dxa"/>
            <w:noWrap w:val="0"/>
            <w:vAlign w:val="center"/>
          </w:tcPr>
          <w:p>
            <w:pPr>
              <w:widowControl w:val="0"/>
              <w:snapToGrid w:val="0"/>
              <w:spacing w:line="400" w:lineRule="exact"/>
              <w:jc w:val="center"/>
              <w:rPr>
                <w:rFonts w:hint="eastAsia" w:ascii="Times New Roman" w:hAnsi="Times New Roman" w:eastAsia="宋体" w:cs="Times New Roman"/>
                <w:b/>
                <w:snapToGrid w:val="0"/>
                <w:kern w:val="2"/>
                <w:sz w:val="21"/>
                <w:szCs w:val="24"/>
                <w:lang w:val="en-US" w:eastAsia="zh-CN" w:bidi="ar-SA"/>
              </w:rPr>
            </w:pPr>
            <w:r>
              <w:rPr>
                <w:rFonts w:hint="eastAsia" w:ascii="Times New Roman" w:hAnsi="Times New Roman" w:eastAsia="宋体" w:cs="Times New Roman"/>
                <w:b/>
                <w:snapToGrid w:val="0"/>
                <w:kern w:val="2"/>
                <w:sz w:val="21"/>
                <w:szCs w:val="24"/>
                <w:lang w:val="en-US" w:eastAsia="zh-CN" w:bidi="ar-SA"/>
              </w:rPr>
              <w:t>裁量条款</w:t>
            </w:r>
          </w:p>
        </w:tc>
        <w:tc>
          <w:tcPr>
            <w:tcW w:w="11918" w:type="dxa"/>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ascii="Times New Roman" w:hAnsi="Times New Roman" w:eastAsia="宋体" w:cs="Times New Roman"/>
                <w:b/>
                <w:snapToGrid w:val="0"/>
                <w:kern w:val="2"/>
                <w:sz w:val="21"/>
                <w:szCs w:val="24"/>
                <w:lang w:val="en-US" w:eastAsia="zh-CN" w:bidi="ar-SA"/>
              </w:rPr>
            </w:pPr>
            <w:r>
              <w:rPr>
                <w:rFonts w:hint="eastAsia" w:ascii="Microsoft JhengHei"/>
                <w:b/>
                <w:sz w:val="21"/>
                <w:lang w:val="en-US" w:eastAsia="zh-CN"/>
              </w:rPr>
              <w:t>第十一条  本条是对《互联网药品信息服务管理办法》第二十四条“处以1万元以上3万元以下的罚款”裁量基准的规定。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2" w:hRule="atLeast"/>
        </w:trPr>
        <w:tc>
          <w:tcPr>
            <w:tcW w:w="660"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605" w:type="dxa"/>
            <w:noWrap w:val="0"/>
            <w:vAlign w:val="center"/>
          </w:tcPr>
          <w:p>
            <w:pPr>
              <w:widowControl w:val="0"/>
              <w:snapToGrid w:val="0"/>
              <w:spacing w:line="400" w:lineRule="exact"/>
              <w:jc w:val="center"/>
              <w:rPr>
                <w:rFonts w:hint="eastAsia" w:ascii="Times New Roman" w:hAnsi="Times New Roman" w:eastAsia="宋体" w:cs="Times New Roman"/>
                <w:b/>
                <w:snapToGrid w:val="0"/>
                <w:kern w:val="2"/>
                <w:sz w:val="21"/>
                <w:szCs w:val="24"/>
                <w:lang w:val="en-US" w:eastAsia="zh-CN" w:bidi="ar-SA"/>
              </w:rPr>
            </w:pPr>
            <w:r>
              <w:rPr>
                <w:rFonts w:hint="eastAsia" w:ascii="Times New Roman" w:hAnsi="Times New Roman" w:eastAsia="宋体" w:cs="Times New Roman"/>
                <w:b/>
                <w:snapToGrid w:val="0"/>
                <w:kern w:val="2"/>
                <w:sz w:val="21"/>
                <w:szCs w:val="24"/>
                <w:lang w:val="en-US" w:eastAsia="zh-CN" w:bidi="ar-SA"/>
              </w:rPr>
              <w:t>关联法条</w:t>
            </w:r>
          </w:p>
        </w:tc>
        <w:tc>
          <w:tcPr>
            <w:tcW w:w="11918" w:type="dxa"/>
            <w:gridSpan w:val="4"/>
            <w:tcBorders>
              <w:bottom w:val="single" w:color="000000" w:sz="8" w:space="0"/>
              <w:right w:val="single" w:color="000000" w:sz="8" w:space="0"/>
            </w:tcBorders>
            <w:noWrap w:val="0"/>
            <w:vAlign w:val="center"/>
          </w:tcPr>
          <w:p>
            <w:pPr>
              <w:pStyle w:val="11"/>
              <w:keepNext w:val="0"/>
              <w:keepLines w:val="0"/>
              <w:widowControl w:val="0"/>
              <w:suppressLineNumbers w:val="0"/>
              <w:spacing w:before="157" w:beforeLines="50" w:after="157" w:afterLines="50" w:line="288" w:lineRule="auto"/>
              <w:ind w:firstLine="420" w:firstLineChars="200"/>
              <w:jc w:val="both"/>
              <w:rPr>
                <w:rFonts w:hint="eastAsia"/>
                <w:sz w:val="21"/>
                <w:lang w:val="en-US"/>
              </w:rPr>
            </w:pPr>
            <w:r>
              <w:rPr>
                <w:rFonts w:hint="eastAsia"/>
                <w:sz w:val="21"/>
                <w:lang w:val="en-US" w:eastAsia="zh-CN"/>
              </w:rPr>
              <w:t xml:space="preserve">《互联网药品信息服务管理办法》第二十四条 </w:t>
            </w:r>
            <w:r>
              <w:rPr>
                <w:rFonts w:hint="eastAsia" w:ascii="宋体" w:hAnsi="宋体" w:eastAsia="宋体" w:cs="宋体"/>
                <w:color w:val="auto"/>
                <w:kern w:val="0"/>
                <w:sz w:val="21"/>
                <w:szCs w:val="22"/>
                <w:lang w:val="en-US" w:eastAsia="zh-CN" w:bidi="ar"/>
              </w:rPr>
              <w:t>（详见本基准第十条关联法条）</w:t>
            </w:r>
          </w:p>
          <w:p>
            <w:pPr>
              <w:pStyle w:val="11"/>
              <w:keepNext w:val="0"/>
              <w:keepLines w:val="0"/>
              <w:pageBreakBefore w:val="0"/>
              <w:widowControl w:val="0"/>
              <w:kinsoku/>
              <w:wordWrap/>
              <w:overflowPunct/>
              <w:topLinePunct w:val="0"/>
              <w:autoSpaceDE w:val="0"/>
              <w:autoSpaceDN w:val="0"/>
              <w:bidi w:val="0"/>
              <w:adjustRightInd/>
              <w:snapToGrid/>
              <w:spacing w:line="288" w:lineRule="auto"/>
              <w:ind w:right="0" w:firstLine="420" w:firstLineChars="200"/>
              <w:jc w:val="both"/>
              <w:textAlignment w:val="auto"/>
              <w:rPr>
                <w:rFonts w:ascii="Times New Roman" w:hAnsi="Times New Roman" w:eastAsia="宋体" w:cs="Times New Roman"/>
                <w:snapToGrid w:val="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660"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605" w:type="dxa"/>
            <w:tcBorders>
              <w:top w:val="single" w:color="000000" w:sz="8" w:space="0"/>
              <w:left w:val="single" w:color="000000" w:sz="8" w:space="0"/>
              <w:bottom w:val="single" w:color="000000" w:sz="8" w:space="0"/>
              <w:right w:val="single" w:color="000000" w:sz="8" w:space="0"/>
            </w:tcBorders>
            <w:noWrap w:val="0"/>
            <w:vAlign w:val="center"/>
          </w:tcPr>
          <w:p>
            <w:pPr>
              <w:widowControl w:val="0"/>
              <w:snapToGrid w:val="0"/>
              <w:spacing w:line="400" w:lineRule="exact"/>
              <w:jc w:val="center"/>
              <w:rPr>
                <w:rFonts w:hint="eastAsia" w:ascii="Times New Roman" w:hAnsi="Times New Roman" w:eastAsia="宋体" w:cs="Times New Roman"/>
                <w:b/>
                <w:snapToGrid w:val="0"/>
                <w:kern w:val="2"/>
                <w:sz w:val="21"/>
                <w:szCs w:val="24"/>
                <w:lang w:val="en-US" w:eastAsia="zh-CN" w:bidi="ar-SA"/>
              </w:rPr>
            </w:pPr>
            <w:r>
              <w:rPr>
                <w:rFonts w:hint="eastAsia" w:ascii="Times New Roman" w:hAnsi="Times New Roman" w:eastAsia="宋体" w:cs="Times New Roman"/>
                <w:b/>
                <w:snapToGrid w:val="0"/>
                <w:kern w:val="2"/>
                <w:sz w:val="21"/>
                <w:szCs w:val="24"/>
                <w:lang w:val="en-US" w:eastAsia="zh-CN" w:bidi="ar-SA"/>
              </w:rPr>
              <w:t>裁量等级</w:t>
            </w:r>
          </w:p>
        </w:tc>
        <w:tc>
          <w:tcPr>
            <w:tcW w:w="2655"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减轻处罚幅度</w:t>
            </w:r>
          </w:p>
        </w:tc>
        <w:tc>
          <w:tcPr>
            <w:tcW w:w="3000"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从轻处罚幅度</w:t>
            </w:r>
          </w:p>
        </w:tc>
        <w:tc>
          <w:tcPr>
            <w:tcW w:w="3015"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一般处罚幅度</w:t>
            </w:r>
          </w:p>
        </w:tc>
        <w:tc>
          <w:tcPr>
            <w:tcW w:w="3248"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660"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605" w:type="dxa"/>
            <w:tcBorders>
              <w:top w:val="single" w:color="000000" w:sz="8" w:space="0"/>
              <w:left w:val="single" w:color="000000" w:sz="8" w:space="0"/>
              <w:bottom w:val="single" w:color="000000" w:sz="8" w:space="0"/>
              <w:right w:val="single" w:color="000000" w:sz="8" w:space="0"/>
            </w:tcBorders>
            <w:noWrap w:val="0"/>
            <w:vAlign w:val="center"/>
          </w:tcPr>
          <w:p>
            <w:pPr>
              <w:widowControl w:val="0"/>
              <w:snapToGrid w:val="0"/>
              <w:spacing w:line="400" w:lineRule="exact"/>
              <w:jc w:val="center"/>
              <w:rPr>
                <w:rFonts w:hint="eastAsia" w:ascii="Times New Roman" w:hAnsi="Times New Roman" w:eastAsia="宋体" w:cs="Times New Roman"/>
                <w:b/>
                <w:snapToGrid w:val="0"/>
                <w:kern w:val="2"/>
                <w:sz w:val="21"/>
                <w:szCs w:val="24"/>
                <w:lang w:val="en-US" w:eastAsia="zh-CN" w:bidi="ar-SA"/>
              </w:rPr>
            </w:pPr>
            <w:r>
              <w:rPr>
                <w:rFonts w:hint="eastAsia" w:ascii="Times New Roman" w:hAnsi="Times New Roman" w:eastAsia="宋体" w:cs="Times New Roman"/>
                <w:b/>
                <w:snapToGrid w:val="0"/>
                <w:kern w:val="2"/>
                <w:sz w:val="21"/>
                <w:szCs w:val="24"/>
                <w:lang w:val="en-US" w:eastAsia="zh-CN" w:bidi="ar-SA"/>
              </w:rPr>
              <w:t>裁量基准</w:t>
            </w:r>
          </w:p>
        </w:tc>
        <w:tc>
          <w:tcPr>
            <w:tcW w:w="2655"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p>
        </w:tc>
        <w:tc>
          <w:tcPr>
            <w:tcW w:w="3000"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从轻行政处罚，处1万元至1.6万元的罚款。</w:t>
            </w:r>
          </w:p>
        </w:tc>
        <w:tc>
          <w:tcPr>
            <w:tcW w:w="3015"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r>
              <w:rPr>
                <w:rFonts w:hint="eastAsia"/>
                <w:sz w:val="21"/>
                <w:lang w:val="en-US" w:eastAsia="zh-CN"/>
              </w:rPr>
              <w:t>一般行政处罚，处1.6万元以上2.4万元以下的罚款。</w:t>
            </w:r>
          </w:p>
        </w:tc>
        <w:tc>
          <w:tcPr>
            <w:tcW w:w="3248"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从重行政处罚，处2.4万元至3万元的罚款。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0" w:hRule="atLeast"/>
        </w:trPr>
        <w:tc>
          <w:tcPr>
            <w:tcW w:w="660" w:type="dxa"/>
            <w:vMerge w:val="continue"/>
            <w:tcBorders>
              <w:right w:val="single" w:color="000000" w:sz="8" w:space="0"/>
            </w:tcBorders>
            <w:noWrap w:val="0"/>
            <w:vAlign w:val="center"/>
          </w:tcPr>
          <w:p>
            <w:pPr>
              <w:autoSpaceDE/>
              <w:autoSpaceDN/>
              <w:snapToGrid w:val="0"/>
              <w:spacing w:line="400" w:lineRule="exact"/>
              <w:jc w:val="both"/>
              <w:rPr>
                <w:rFonts w:ascii="Times New Roman" w:hAnsi="Times New Roman" w:cs="Times New Roman"/>
                <w:snapToGrid w:val="0"/>
                <w:kern w:val="2"/>
                <w:sz w:val="2"/>
                <w:szCs w:val="2"/>
                <w:lang w:val="en-US" w:bidi="ar-SA"/>
              </w:rPr>
            </w:pPr>
          </w:p>
        </w:tc>
        <w:tc>
          <w:tcPr>
            <w:tcW w:w="1605" w:type="dxa"/>
            <w:tcBorders>
              <w:top w:val="single" w:color="000000" w:sz="8" w:space="0"/>
              <w:left w:val="single" w:color="000000" w:sz="8"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80" w:lineRule="exact"/>
              <w:jc w:val="both"/>
              <w:textAlignment w:val="auto"/>
              <w:rPr>
                <w:rFonts w:hint="eastAsia" w:ascii="Times New Roman" w:hAnsi="Times New Roman" w:eastAsia="宋体" w:cs="Times New Roman"/>
                <w:snapToGrid w:val="0"/>
                <w:kern w:val="2"/>
                <w:sz w:val="21"/>
                <w:szCs w:val="24"/>
                <w:lang w:val="en-US" w:eastAsia="zh-CN" w:bidi="ar-SA"/>
              </w:rPr>
            </w:pPr>
            <w:r>
              <w:rPr>
                <w:rFonts w:hint="eastAsia" w:ascii="Times New Roman" w:hAnsi="Times New Roman" w:eastAsia="Microsoft JhengHei" w:cs="Times New Roman"/>
                <w:b/>
                <w:snapToGrid w:val="0"/>
                <w:kern w:val="2"/>
                <w:sz w:val="21"/>
                <w:szCs w:val="24"/>
                <w:lang w:val="en-US" w:eastAsia="zh-CN" w:bidi="ar-SA"/>
              </w:rPr>
              <w:t>裁量因素</w:t>
            </w:r>
            <w:r>
              <w:rPr>
                <w:rFonts w:hint="eastAsia" w:ascii="Times New Roman" w:hAnsi="Times New Roman" w:eastAsia="Microsoft JhengHei" w:cs="Times New Roman"/>
                <w:bCs/>
                <w:snapToGrid w:val="0"/>
                <w:kern w:val="2"/>
                <w:sz w:val="21"/>
                <w:szCs w:val="24"/>
                <w:lang w:val="en-US" w:eastAsia="zh-CN" w:bidi="ar-SA"/>
              </w:rPr>
              <w:t>（是指在进行裁量时，除裁量规则规定的从轻、减轻、从重情形外，可以考虑的因素）</w:t>
            </w:r>
          </w:p>
        </w:tc>
        <w:tc>
          <w:tcPr>
            <w:tcW w:w="11918" w:type="dxa"/>
            <w:gridSpan w:val="4"/>
            <w:tcBorders>
              <w:top w:val="single" w:color="000000" w:sz="8" w:space="0"/>
              <w:left w:val="single" w:color="auto" w:sz="4"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80" w:lineRule="exact"/>
              <w:jc w:val="both"/>
              <w:textAlignment w:val="auto"/>
              <w:rPr>
                <w:rFonts w:hint="eastAsia" w:ascii="Times New Roman" w:hAnsi="Times New Roman" w:eastAsia="Microsoft JhengHei" w:cs="Times New Roman"/>
                <w:b/>
                <w:snapToGrid w:val="0"/>
                <w:kern w:val="2"/>
                <w:sz w:val="21"/>
                <w:szCs w:val="24"/>
                <w:lang w:val="en-US" w:eastAsia="zh-CN" w:bidi="ar-SA"/>
              </w:rPr>
            </w:pPr>
            <w:r>
              <w:rPr>
                <w:rFonts w:hint="eastAsia" w:ascii="Times New Roman" w:hAnsi="Times New Roman" w:eastAsia="Microsoft JhengHei" w:cs="Times New Roman"/>
                <w:b/>
                <w:snapToGrid w:val="0"/>
                <w:kern w:val="2"/>
                <w:sz w:val="21"/>
                <w:szCs w:val="24"/>
                <w:lang w:val="en-US" w:eastAsia="zh-CN" w:bidi="ar-SA"/>
              </w:rPr>
              <w:t>从轻</w:t>
            </w:r>
            <w:r>
              <w:rPr>
                <w:rFonts w:hint="eastAsia" w:ascii="Times New Roman" w:hAnsi="Times New Roman" w:eastAsia="宋体" w:cs="Times New Roman"/>
                <w:b/>
                <w:snapToGrid w:val="0"/>
                <w:kern w:val="2"/>
                <w:sz w:val="21"/>
                <w:szCs w:val="24"/>
                <w:lang w:val="en-US" w:eastAsia="zh-CN" w:bidi="ar-SA"/>
              </w:rPr>
              <w:t>处</w:t>
            </w:r>
            <w:r>
              <w:rPr>
                <w:rFonts w:hint="eastAsia" w:ascii="Times New Roman" w:hAnsi="Times New Roman" w:eastAsia="Microsoft JhengHei" w:cs="Times New Roman"/>
                <w:b/>
                <w:snapToGrid w:val="0"/>
                <w:kern w:val="2"/>
                <w:sz w:val="21"/>
                <w:szCs w:val="24"/>
                <w:lang w:val="en-US" w:eastAsia="zh-CN" w:bidi="ar-SA"/>
              </w:rPr>
              <w:t>罚考虑因素：</w:t>
            </w:r>
          </w:p>
          <w:p>
            <w:pPr>
              <w:widowControl w:val="0"/>
              <w:pBdr>
                <w:top w:val="none" w:color="auto" w:sz="0" w:space="0"/>
                <w:left w:val="none" w:color="auto" w:sz="0" w:space="0"/>
                <w:bottom w:val="none" w:color="auto" w:sz="0" w:space="0"/>
                <w:right w:val="none" w:color="auto" w:sz="0" w:space="0"/>
              </w:pBdr>
              <w:spacing w:before="0" w:after="0" w:line="390" w:lineRule="atLeast"/>
              <w:ind w:left="0" w:right="0" w:firstLine="420"/>
              <w:jc w:val="both"/>
              <w:textAlignment w:val="center"/>
              <w:rPr>
                <w:rFonts w:ascii="宋体" w:hAnsi="宋体" w:eastAsia="宋体" w:cs="宋体"/>
                <w:snapToGrid w:val="0"/>
                <w:color w:val="auto"/>
                <w:kern w:val="2"/>
                <w:sz w:val="21"/>
                <w:szCs w:val="21"/>
                <w:lang w:val="zh-CN" w:eastAsia="zh-CN" w:bidi="ar-SA"/>
              </w:rPr>
            </w:pPr>
            <w:r>
              <w:rPr>
                <w:rFonts w:ascii="宋体" w:hAnsi="宋体" w:eastAsia="宋体" w:cs="宋体"/>
                <w:snapToGrid w:val="0"/>
                <w:kern w:val="2"/>
                <w:sz w:val="21"/>
                <w:szCs w:val="21"/>
                <w:lang w:val="zh-CN" w:eastAsia="zh-CN" w:bidi="ar-SA"/>
              </w:rPr>
              <w:t>（一）只</w:t>
            </w:r>
            <w:r>
              <w:rPr>
                <w:rFonts w:ascii="宋体" w:hAnsi="宋体" w:eastAsia="宋体" w:cs="宋体"/>
                <w:snapToGrid w:val="0"/>
                <w:color w:val="auto"/>
                <w:kern w:val="2"/>
                <w:sz w:val="21"/>
                <w:szCs w:val="21"/>
                <w:lang w:val="zh-CN" w:eastAsia="zh-CN" w:bidi="ar-SA"/>
              </w:rPr>
              <w:t>有《</w:t>
            </w:r>
            <w:r>
              <w:rPr>
                <w:rFonts w:ascii="宋体" w:hAnsi="宋体" w:eastAsia="宋体" w:cs="宋体"/>
                <w:snapToGrid w:val="0"/>
                <w:color w:val="auto"/>
                <w:kern w:val="2"/>
                <w:sz w:val="21"/>
                <w:szCs w:val="21"/>
                <w:lang w:val="zh-CN" w:eastAsia="zh-CN" w:bidi="ar-SA"/>
              </w:rPr>
              <w:fldChar w:fldCharType="begin"/>
            </w:r>
            <w:r>
              <w:rPr>
                <w:rFonts w:ascii="宋体" w:hAnsi="宋体" w:eastAsia="宋体" w:cs="宋体"/>
                <w:snapToGrid w:val="0"/>
                <w:color w:val="auto"/>
                <w:kern w:val="2"/>
                <w:sz w:val="21"/>
                <w:szCs w:val="21"/>
                <w:lang w:val="zh-CN" w:eastAsia="zh-CN" w:bidi="ar-SA"/>
              </w:rPr>
              <w:instrText xml:space="preserve"> HYPERLINK "https://law.wkinfo.com.cn/document/show?collection=legislation&amp;aid=MTAwMDE3OTgwMzk%3D&amp;language=中文" </w:instrText>
            </w:r>
            <w:r>
              <w:rPr>
                <w:rFonts w:ascii="宋体" w:hAnsi="宋体" w:eastAsia="宋体" w:cs="宋体"/>
                <w:snapToGrid w:val="0"/>
                <w:color w:val="auto"/>
                <w:kern w:val="2"/>
                <w:sz w:val="21"/>
                <w:szCs w:val="21"/>
                <w:lang w:val="zh-CN" w:eastAsia="zh-CN" w:bidi="ar-SA"/>
              </w:rPr>
              <w:fldChar w:fldCharType="separate"/>
            </w:r>
            <w:r>
              <w:rPr>
                <w:rStyle w:val="13"/>
                <w:rFonts w:ascii="宋体" w:hAnsi="宋体" w:eastAsia="宋体" w:cs="宋体"/>
                <w:snapToGrid w:val="0"/>
                <w:color w:val="auto"/>
                <w:kern w:val="2"/>
                <w:sz w:val="21"/>
                <w:szCs w:val="21"/>
                <w:lang w:val="zh-CN" w:eastAsia="zh-CN" w:bidi="ar-SA"/>
              </w:rPr>
              <w:t>互联网药品信息服务管理办法</w:t>
            </w:r>
            <w:r>
              <w:rPr>
                <w:rStyle w:val="13"/>
                <w:rFonts w:ascii="宋体" w:hAnsi="宋体" w:eastAsia="宋体" w:cs="宋体"/>
                <w:snapToGrid w:val="0"/>
                <w:color w:val="auto"/>
                <w:kern w:val="2"/>
                <w:sz w:val="21"/>
                <w:szCs w:val="21"/>
                <w:lang w:val="zh-CN" w:eastAsia="zh-CN" w:bidi="ar-SA"/>
              </w:rPr>
              <w:fldChar w:fldCharType="end"/>
            </w:r>
            <w:r>
              <w:rPr>
                <w:rFonts w:ascii="宋体" w:hAnsi="宋体" w:eastAsia="宋体" w:cs="宋体"/>
                <w:snapToGrid w:val="0"/>
                <w:color w:val="auto"/>
                <w:kern w:val="2"/>
                <w:sz w:val="21"/>
                <w:szCs w:val="21"/>
                <w:lang w:val="zh-CN" w:eastAsia="zh-CN" w:bidi="ar-SA"/>
              </w:rPr>
              <w:t>》</w:t>
            </w:r>
            <w:r>
              <w:rPr>
                <w:rFonts w:ascii="宋体" w:hAnsi="宋体" w:eastAsia="宋体" w:cs="宋体"/>
                <w:snapToGrid w:val="0"/>
                <w:color w:val="auto"/>
                <w:kern w:val="2"/>
                <w:sz w:val="21"/>
                <w:szCs w:val="21"/>
                <w:lang w:val="zh-CN" w:eastAsia="zh-CN" w:bidi="ar-SA"/>
              </w:rPr>
              <w:fldChar w:fldCharType="begin"/>
            </w:r>
            <w:r>
              <w:rPr>
                <w:rFonts w:ascii="宋体" w:hAnsi="宋体" w:eastAsia="宋体" w:cs="宋体"/>
                <w:snapToGrid w:val="0"/>
                <w:color w:val="auto"/>
                <w:kern w:val="2"/>
                <w:sz w:val="21"/>
                <w:szCs w:val="21"/>
                <w:lang w:val="zh-CN" w:eastAsia="zh-CN" w:bidi="ar-SA"/>
              </w:rPr>
              <w:instrText xml:space="preserve"> HYPERLINK "https://law.wkinfo.com.cn/document/show?collection=legislation&amp;aid=MTAwMDE3OTgwMzk%3D&amp;language=中文" \l "No74_T24" </w:instrText>
            </w:r>
            <w:r>
              <w:rPr>
                <w:rFonts w:ascii="宋体" w:hAnsi="宋体" w:eastAsia="宋体" w:cs="宋体"/>
                <w:snapToGrid w:val="0"/>
                <w:color w:val="auto"/>
                <w:kern w:val="2"/>
                <w:sz w:val="21"/>
                <w:szCs w:val="21"/>
                <w:lang w:val="zh-CN" w:eastAsia="zh-CN" w:bidi="ar-SA"/>
              </w:rPr>
              <w:fldChar w:fldCharType="separate"/>
            </w:r>
            <w:r>
              <w:rPr>
                <w:rStyle w:val="13"/>
                <w:rFonts w:ascii="宋体" w:hAnsi="宋体" w:eastAsia="宋体" w:cs="宋体"/>
                <w:snapToGrid w:val="0"/>
                <w:color w:val="auto"/>
                <w:kern w:val="2"/>
                <w:sz w:val="21"/>
                <w:szCs w:val="21"/>
                <w:lang w:val="zh-CN" w:eastAsia="zh-CN" w:bidi="ar-SA"/>
              </w:rPr>
              <w:t>第二十四条</w:t>
            </w:r>
            <w:r>
              <w:rPr>
                <w:rStyle w:val="13"/>
                <w:rFonts w:ascii="宋体" w:hAnsi="宋体" w:eastAsia="宋体" w:cs="宋体"/>
                <w:snapToGrid w:val="0"/>
                <w:color w:val="auto"/>
                <w:kern w:val="2"/>
                <w:sz w:val="21"/>
                <w:szCs w:val="21"/>
                <w:lang w:val="zh-CN" w:eastAsia="zh-CN" w:bidi="ar-SA"/>
              </w:rPr>
              <w:fldChar w:fldCharType="end"/>
            </w:r>
            <w:r>
              <w:rPr>
                <w:rFonts w:ascii="宋体" w:hAnsi="宋体" w:eastAsia="宋体" w:cs="宋体"/>
                <w:snapToGrid w:val="0"/>
                <w:color w:val="auto"/>
                <w:kern w:val="2"/>
                <w:sz w:val="21"/>
                <w:szCs w:val="21"/>
                <w:lang w:val="zh-CN" w:eastAsia="zh-CN" w:bidi="ar-SA"/>
              </w:rPr>
              <w:t>所列2项违法情形的；</w:t>
            </w:r>
          </w:p>
          <w:p>
            <w:pPr>
              <w:widowControl w:val="0"/>
              <w:pBdr>
                <w:top w:val="none" w:color="auto" w:sz="0" w:space="0"/>
                <w:left w:val="none" w:color="auto" w:sz="0" w:space="0"/>
                <w:bottom w:val="none" w:color="auto" w:sz="0" w:space="0"/>
                <w:right w:val="none" w:color="auto" w:sz="0" w:space="0"/>
              </w:pBdr>
              <w:spacing w:before="0" w:after="0" w:line="390" w:lineRule="atLeast"/>
              <w:ind w:left="0" w:right="0" w:firstLine="420"/>
              <w:jc w:val="both"/>
              <w:textAlignment w:val="center"/>
              <w:rPr>
                <w:rFonts w:ascii="宋体" w:hAnsi="宋体" w:eastAsia="宋体" w:cs="宋体"/>
                <w:snapToGrid w:val="0"/>
                <w:color w:val="auto"/>
                <w:kern w:val="2"/>
                <w:sz w:val="21"/>
                <w:szCs w:val="21"/>
                <w:lang w:val="zh-CN" w:eastAsia="zh-CN" w:bidi="ar-SA"/>
              </w:rPr>
            </w:pPr>
            <w:r>
              <w:rPr>
                <w:rFonts w:ascii="宋体" w:hAnsi="宋体" w:eastAsia="宋体" w:cs="宋体"/>
                <w:snapToGrid w:val="0"/>
                <w:color w:val="auto"/>
                <w:kern w:val="2"/>
                <w:sz w:val="21"/>
                <w:szCs w:val="21"/>
                <w:lang w:val="zh-CN" w:eastAsia="zh-CN" w:bidi="ar-SA"/>
              </w:rPr>
              <w:t>（二）有《</w:t>
            </w:r>
            <w:r>
              <w:rPr>
                <w:rFonts w:ascii="宋体" w:hAnsi="宋体" w:eastAsia="宋体" w:cs="宋体"/>
                <w:snapToGrid w:val="0"/>
                <w:color w:val="auto"/>
                <w:kern w:val="2"/>
                <w:sz w:val="21"/>
                <w:szCs w:val="21"/>
                <w:lang w:val="zh-CN" w:eastAsia="zh-CN" w:bidi="ar-SA"/>
              </w:rPr>
              <w:fldChar w:fldCharType="begin"/>
            </w:r>
            <w:r>
              <w:rPr>
                <w:rFonts w:ascii="宋体" w:hAnsi="宋体" w:eastAsia="宋体" w:cs="宋体"/>
                <w:snapToGrid w:val="0"/>
                <w:color w:val="auto"/>
                <w:kern w:val="2"/>
                <w:sz w:val="21"/>
                <w:szCs w:val="21"/>
                <w:lang w:val="zh-CN" w:eastAsia="zh-CN" w:bidi="ar-SA"/>
              </w:rPr>
              <w:instrText xml:space="preserve"> HYPERLINK "https://law.wkinfo.com.cn/document/show?collection=legislation&amp;aid=MTAwMDE3OTgwMzk%3D&amp;language=中文" </w:instrText>
            </w:r>
            <w:r>
              <w:rPr>
                <w:rFonts w:ascii="宋体" w:hAnsi="宋体" w:eastAsia="宋体" w:cs="宋体"/>
                <w:snapToGrid w:val="0"/>
                <w:color w:val="auto"/>
                <w:kern w:val="2"/>
                <w:sz w:val="21"/>
                <w:szCs w:val="21"/>
                <w:lang w:val="zh-CN" w:eastAsia="zh-CN" w:bidi="ar-SA"/>
              </w:rPr>
              <w:fldChar w:fldCharType="separate"/>
            </w:r>
            <w:r>
              <w:rPr>
                <w:rStyle w:val="13"/>
                <w:rFonts w:ascii="宋体" w:hAnsi="宋体" w:eastAsia="宋体" w:cs="宋体"/>
                <w:snapToGrid w:val="0"/>
                <w:color w:val="auto"/>
                <w:kern w:val="2"/>
                <w:sz w:val="21"/>
                <w:szCs w:val="21"/>
                <w:lang w:val="zh-CN" w:eastAsia="zh-CN" w:bidi="ar-SA"/>
              </w:rPr>
              <w:t>互联网药品信息服务管理办法</w:t>
            </w:r>
            <w:r>
              <w:rPr>
                <w:rStyle w:val="13"/>
                <w:rFonts w:ascii="宋体" w:hAnsi="宋体" w:eastAsia="宋体" w:cs="宋体"/>
                <w:snapToGrid w:val="0"/>
                <w:color w:val="auto"/>
                <w:kern w:val="2"/>
                <w:sz w:val="21"/>
                <w:szCs w:val="21"/>
                <w:lang w:val="zh-CN" w:eastAsia="zh-CN" w:bidi="ar-SA"/>
              </w:rPr>
              <w:fldChar w:fldCharType="end"/>
            </w:r>
            <w:r>
              <w:rPr>
                <w:rFonts w:ascii="宋体" w:hAnsi="宋体" w:eastAsia="宋体" w:cs="宋体"/>
                <w:snapToGrid w:val="0"/>
                <w:color w:val="auto"/>
                <w:kern w:val="2"/>
                <w:sz w:val="21"/>
                <w:szCs w:val="21"/>
                <w:lang w:val="zh-CN" w:eastAsia="zh-CN" w:bidi="ar-SA"/>
              </w:rPr>
              <w:t>》</w:t>
            </w:r>
            <w:r>
              <w:rPr>
                <w:rFonts w:ascii="宋体" w:hAnsi="宋体" w:eastAsia="宋体" w:cs="宋体"/>
                <w:snapToGrid w:val="0"/>
                <w:color w:val="auto"/>
                <w:kern w:val="2"/>
                <w:sz w:val="21"/>
                <w:szCs w:val="21"/>
                <w:lang w:val="zh-CN" w:eastAsia="zh-CN" w:bidi="ar-SA"/>
              </w:rPr>
              <w:fldChar w:fldCharType="begin"/>
            </w:r>
            <w:r>
              <w:rPr>
                <w:rFonts w:ascii="宋体" w:hAnsi="宋体" w:eastAsia="宋体" w:cs="宋体"/>
                <w:snapToGrid w:val="0"/>
                <w:color w:val="auto"/>
                <w:kern w:val="2"/>
                <w:sz w:val="21"/>
                <w:szCs w:val="21"/>
                <w:lang w:val="zh-CN" w:eastAsia="zh-CN" w:bidi="ar-SA"/>
              </w:rPr>
              <w:instrText xml:space="preserve"> HYPERLINK "https://law.wkinfo.com.cn/document/show?collection=legislation&amp;aid=MTAwMDE3OTgwMzk%3D&amp;language=中文" \l "No74_T24" </w:instrText>
            </w:r>
            <w:r>
              <w:rPr>
                <w:rFonts w:ascii="宋体" w:hAnsi="宋体" w:eastAsia="宋体" w:cs="宋体"/>
                <w:snapToGrid w:val="0"/>
                <w:color w:val="auto"/>
                <w:kern w:val="2"/>
                <w:sz w:val="21"/>
                <w:szCs w:val="21"/>
                <w:lang w:val="zh-CN" w:eastAsia="zh-CN" w:bidi="ar-SA"/>
              </w:rPr>
              <w:fldChar w:fldCharType="separate"/>
            </w:r>
            <w:r>
              <w:rPr>
                <w:rStyle w:val="13"/>
                <w:rFonts w:ascii="宋体" w:hAnsi="宋体" w:eastAsia="宋体" w:cs="宋体"/>
                <w:snapToGrid w:val="0"/>
                <w:color w:val="auto"/>
                <w:kern w:val="2"/>
                <w:sz w:val="21"/>
                <w:szCs w:val="21"/>
                <w:lang w:val="zh-CN" w:eastAsia="zh-CN" w:bidi="ar-SA"/>
              </w:rPr>
              <w:t>第二十四条第</w:t>
            </w:r>
            <w:r>
              <w:rPr>
                <w:rStyle w:val="13"/>
                <w:rFonts w:ascii="宋体" w:hAnsi="宋体" w:eastAsia="宋体" w:cs="宋体"/>
                <w:snapToGrid w:val="0"/>
                <w:color w:val="auto"/>
                <w:kern w:val="2"/>
                <w:sz w:val="21"/>
                <w:szCs w:val="21"/>
                <w:highlight w:val="none"/>
                <w:lang w:val="zh-CN" w:eastAsia="zh-CN" w:bidi="ar-SA"/>
              </w:rPr>
              <w:t>三</w:t>
            </w:r>
            <w:r>
              <w:rPr>
                <w:rStyle w:val="13"/>
                <w:rFonts w:ascii="宋体" w:hAnsi="宋体" w:eastAsia="宋体" w:cs="宋体"/>
                <w:snapToGrid w:val="0"/>
                <w:color w:val="auto"/>
                <w:kern w:val="2"/>
                <w:sz w:val="21"/>
                <w:szCs w:val="21"/>
                <w:lang w:val="zh-CN" w:eastAsia="zh-CN" w:bidi="ar-SA"/>
              </w:rPr>
              <w:t>项</w:t>
            </w:r>
            <w:r>
              <w:rPr>
                <w:rStyle w:val="13"/>
                <w:rFonts w:ascii="宋体" w:hAnsi="宋体" w:eastAsia="宋体" w:cs="宋体"/>
                <w:snapToGrid w:val="0"/>
                <w:color w:val="auto"/>
                <w:kern w:val="2"/>
                <w:sz w:val="21"/>
                <w:szCs w:val="21"/>
                <w:lang w:val="zh-CN" w:eastAsia="zh-CN" w:bidi="ar-SA"/>
              </w:rPr>
              <w:fldChar w:fldCharType="end"/>
            </w:r>
            <w:r>
              <w:rPr>
                <w:rFonts w:ascii="宋体" w:hAnsi="宋体" w:eastAsia="宋体" w:cs="宋体"/>
                <w:snapToGrid w:val="0"/>
                <w:color w:val="auto"/>
                <w:kern w:val="2"/>
                <w:sz w:val="21"/>
                <w:szCs w:val="21"/>
                <w:lang w:val="zh-CN" w:eastAsia="zh-CN" w:bidi="ar-SA"/>
              </w:rPr>
              <w:t>情形的</w:t>
            </w:r>
            <w:r>
              <w:rPr>
                <w:rFonts w:hint="eastAsia" w:ascii="宋体" w:hAnsi="宋体" w:eastAsia="宋体" w:cs="宋体"/>
                <w:snapToGrid w:val="0"/>
                <w:color w:val="auto"/>
                <w:kern w:val="2"/>
                <w:sz w:val="21"/>
                <w:szCs w:val="21"/>
                <w:lang w:val="zh-CN" w:eastAsia="zh-CN" w:bidi="ar-SA"/>
              </w:rPr>
              <w:t>。</w:t>
            </w:r>
          </w:p>
          <w:p>
            <w:pPr>
              <w:keepNext w:val="0"/>
              <w:keepLines w:val="0"/>
              <w:pageBreakBefore w:val="0"/>
              <w:widowControl w:val="0"/>
              <w:kinsoku/>
              <w:wordWrap/>
              <w:overflowPunct/>
              <w:topLinePunct w:val="0"/>
              <w:autoSpaceDE w:val="0"/>
              <w:autoSpaceDN w:val="0"/>
              <w:bidi w:val="0"/>
              <w:adjustRightInd/>
              <w:snapToGrid w:val="0"/>
              <w:spacing w:line="280" w:lineRule="exact"/>
              <w:jc w:val="both"/>
              <w:textAlignment w:val="auto"/>
              <w:rPr>
                <w:rFonts w:hint="eastAsia" w:ascii="Times New Roman" w:hAnsi="Times New Roman" w:eastAsia="Microsoft JhengHei" w:cs="Times New Roman"/>
                <w:b/>
                <w:snapToGrid w:val="0"/>
                <w:color w:val="auto"/>
                <w:kern w:val="2"/>
                <w:sz w:val="21"/>
                <w:szCs w:val="24"/>
                <w:lang w:val="en-US" w:eastAsia="zh-CN" w:bidi="ar-SA"/>
              </w:rPr>
            </w:pPr>
            <w:r>
              <w:rPr>
                <w:rFonts w:hint="eastAsia" w:ascii="Times New Roman" w:hAnsi="Times New Roman" w:eastAsia="Microsoft JhengHei" w:cs="Times New Roman"/>
                <w:b/>
                <w:snapToGrid w:val="0"/>
                <w:color w:val="auto"/>
                <w:kern w:val="2"/>
                <w:sz w:val="21"/>
                <w:szCs w:val="24"/>
                <w:lang w:val="en-US" w:eastAsia="zh-CN" w:bidi="ar-SA"/>
              </w:rPr>
              <w:t>从重</w:t>
            </w:r>
            <w:r>
              <w:rPr>
                <w:rFonts w:hint="eastAsia" w:ascii="Times New Roman" w:hAnsi="Times New Roman" w:eastAsia="宋体" w:cs="Times New Roman"/>
                <w:b/>
                <w:snapToGrid w:val="0"/>
                <w:color w:val="auto"/>
                <w:kern w:val="2"/>
                <w:sz w:val="21"/>
                <w:szCs w:val="24"/>
                <w:lang w:val="en-US" w:eastAsia="zh-CN" w:bidi="ar-SA"/>
              </w:rPr>
              <w:t>处</w:t>
            </w:r>
            <w:r>
              <w:rPr>
                <w:rFonts w:hint="eastAsia" w:ascii="Times New Roman" w:hAnsi="Times New Roman" w:eastAsia="Microsoft JhengHei" w:cs="Times New Roman"/>
                <w:b/>
                <w:snapToGrid w:val="0"/>
                <w:color w:val="auto"/>
                <w:kern w:val="2"/>
                <w:sz w:val="21"/>
                <w:szCs w:val="24"/>
                <w:lang w:val="en-US" w:eastAsia="zh-CN" w:bidi="ar-SA"/>
              </w:rPr>
              <w:t>罚考虑因素：</w:t>
            </w:r>
          </w:p>
          <w:p>
            <w:pPr>
              <w:widowControl w:val="0"/>
              <w:pBdr>
                <w:top w:val="none" w:color="auto" w:sz="0" w:space="0"/>
                <w:left w:val="none" w:color="auto" w:sz="0" w:space="0"/>
                <w:bottom w:val="none" w:color="auto" w:sz="0" w:space="0"/>
                <w:right w:val="none" w:color="auto" w:sz="0" w:space="0"/>
              </w:pBdr>
              <w:spacing w:before="0" w:after="0" w:line="390" w:lineRule="atLeast"/>
              <w:ind w:left="0" w:right="0" w:firstLine="420"/>
              <w:jc w:val="both"/>
              <w:textAlignment w:val="center"/>
              <w:rPr>
                <w:rFonts w:ascii="宋体" w:hAnsi="宋体" w:eastAsia="宋体" w:cs="宋体"/>
                <w:snapToGrid w:val="0"/>
                <w:color w:val="auto"/>
                <w:kern w:val="2"/>
                <w:sz w:val="21"/>
                <w:szCs w:val="21"/>
                <w:lang w:val="zh-CN" w:eastAsia="zh-CN" w:bidi="ar-SA"/>
              </w:rPr>
            </w:pPr>
            <w:r>
              <w:rPr>
                <w:rFonts w:ascii="宋体" w:hAnsi="宋体" w:eastAsia="宋体" w:cs="宋体"/>
                <w:snapToGrid w:val="0"/>
                <w:color w:val="auto"/>
                <w:kern w:val="2"/>
                <w:sz w:val="21"/>
                <w:szCs w:val="21"/>
                <w:lang w:val="zh-CN" w:eastAsia="zh-CN" w:bidi="ar-SA"/>
              </w:rPr>
              <w:t>（一）有《</w:t>
            </w:r>
            <w:r>
              <w:rPr>
                <w:rFonts w:ascii="宋体" w:hAnsi="宋体" w:eastAsia="宋体" w:cs="宋体"/>
                <w:snapToGrid w:val="0"/>
                <w:color w:val="auto"/>
                <w:kern w:val="2"/>
                <w:sz w:val="21"/>
                <w:szCs w:val="21"/>
                <w:lang w:val="zh-CN" w:eastAsia="zh-CN" w:bidi="ar-SA"/>
              </w:rPr>
              <w:fldChar w:fldCharType="begin"/>
            </w:r>
            <w:r>
              <w:rPr>
                <w:rFonts w:ascii="宋体" w:hAnsi="宋体" w:eastAsia="宋体" w:cs="宋体"/>
                <w:snapToGrid w:val="0"/>
                <w:color w:val="auto"/>
                <w:kern w:val="2"/>
                <w:sz w:val="21"/>
                <w:szCs w:val="21"/>
                <w:lang w:val="zh-CN" w:eastAsia="zh-CN" w:bidi="ar-SA"/>
              </w:rPr>
              <w:instrText xml:space="preserve"> HYPERLINK "https://law.wkinfo.com.cn/document/show?collection=legislation&amp;aid=MTAwMDE3OTgwMzk%3D&amp;language=中文" </w:instrText>
            </w:r>
            <w:r>
              <w:rPr>
                <w:rFonts w:ascii="宋体" w:hAnsi="宋体" w:eastAsia="宋体" w:cs="宋体"/>
                <w:snapToGrid w:val="0"/>
                <w:color w:val="auto"/>
                <w:kern w:val="2"/>
                <w:sz w:val="21"/>
                <w:szCs w:val="21"/>
                <w:lang w:val="zh-CN" w:eastAsia="zh-CN" w:bidi="ar-SA"/>
              </w:rPr>
              <w:fldChar w:fldCharType="separate"/>
            </w:r>
            <w:r>
              <w:rPr>
                <w:rStyle w:val="13"/>
                <w:rFonts w:ascii="宋体" w:hAnsi="宋体" w:eastAsia="宋体" w:cs="宋体"/>
                <w:snapToGrid w:val="0"/>
                <w:color w:val="auto"/>
                <w:kern w:val="2"/>
                <w:sz w:val="21"/>
                <w:szCs w:val="21"/>
                <w:lang w:val="zh-CN" w:eastAsia="zh-CN" w:bidi="ar-SA"/>
              </w:rPr>
              <w:t>互联网药品信息服务管理办法</w:t>
            </w:r>
            <w:r>
              <w:rPr>
                <w:rStyle w:val="13"/>
                <w:rFonts w:ascii="宋体" w:hAnsi="宋体" w:eastAsia="宋体" w:cs="宋体"/>
                <w:snapToGrid w:val="0"/>
                <w:color w:val="auto"/>
                <w:kern w:val="2"/>
                <w:sz w:val="21"/>
                <w:szCs w:val="21"/>
                <w:lang w:val="zh-CN" w:eastAsia="zh-CN" w:bidi="ar-SA"/>
              </w:rPr>
              <w:fldChar w:fldCharType="end"/>
            </w:r>
            <w:r>
              <w:rPr>
                <w:rFonts w:ascii="宋体" w:hAnsi="宋体" w:eastAsia="宋体" w:cs="宋体"/>
                <w:snapToGrid w:val="0"/>
                <w:color w:val="auto"/>
                <w:kern w:val="2"/>
                <w:sz w:val="21"/>
                <w:szCs w:val="21"/>
                <w:lang w:val="zh-CN" w:eastAsia="zh-CN" w:bidi="ar-SA"/>
              </w:rPr>
              <w:t>》</w:t>
            </w:r>
            <w:r>
              <w:rPr>
                <w:rFonts w:ascii="宋体" w:hAnsi="宋体" w:eastAsia="宋体" w:cs="宋体"/>
                <w:snapToGrid w:val="0"/>
                <w:color w:val="auto"/>
                <w:kern w:val="2"/>
                <w:sz w:val="21"/>
                <w:szCs w:val="21"/>
                <w:lang w:val="zh-CN" w:eastAsia="zh-CN" w:bidi="ar-SA"/>
              </w:rPr>
              <w:fldChar w:fldCharType="begin"/>
            </w:r>
            <w:r>
              <w:rPr>
                <w:rFonts w:ascii="宋体" w:hAnsi="宋体" w:eastAsia="宋体" w:cs="宋体"/>
                <w:snapToGrid w:val="0"/>
                <w:color w:val="auto"/>
                <w:kern w:val="2"/>
                <w:sz w:val="21"/>
                <w:szCs w:val="21"/>
                <w:lang w:val="zh-CN" w:eastAsia="zh-CN" w:bidi="ar-SA"/>
              </w:rPr>
              <w:instrText xml:space="preserve"> HYPERLINK "https://law.wkinfo.com.cn/document/show?collection=legislation&amp;aid=MTAwMDE3OTgwMzk%3D&amp;language=中文" \l "No74_T24" </w:instrText>
            </w:r>
            <w:r>
              <w:rPr>
                <w:rFonts w:ascii="宋体" w:hAnsi="宋体" w:eastAsia="宋体" w:cs="宋体"/>
                <w:snapToGrid w:val="0"/>
                <w:color w:val="auto"/>
                <w:kern w:val="2"/>
                <w:sz w:val="21"/>
                <w:szCs w:val="21"/>
                <w:lang w:val="zh-CN" w:eastAsia="zh-CN" w:bidi="ar-SA"/>
              </w:rPr>
              <w:fldChar w:fldCharType="separate"/>
            </w:r>
            <w:r>
              <w:rPr>
                <w:rStyle w:val="13"/>
                <w:rFonts w:ascii="宋体" w:hAnsi="宋体" w:eastAsia="宋体" w:cs="宋体"/>
                <w:snapToGrid w:val="0"/>
                <w:color w:val="auto"/>
                <w:kern w:val="2"/>
                <w:sz w:val="21"/>
                <w:szCs w:val="21"/>
                <w:lang w:val="zh-CN" w:eastAsia="zh-CN" w:bidi="ar-SA"/>
              </w:rPr>
              <w:t>第二十四条</w:t>
            </w:r>
            <w:r>
              <w:rPr>
                <w:rStyle w:val="13"/>
                <w:rFonts w:ascii="宋体" w:hAnsi="宋体" w:eastAsia="宋体" w:cs="宋体"/>
                <w:snapToGrid w:val="0"/>
                <w:color w:val="auto"/>
                <w:kern w:val="2"/>
                <w:sz w:val="21"/>
                <w:szCs w:val="21"/>
                <w:lang w:val="zh-CN" w:eastAsia="zh-CN" w:bidi="ar-SA"/>
              </w:rPr>
              <w:fldChar w:fldCharType="end"/>
            </w:r>
            <w:r>
              <w:rPr>
                <w:rFonts w:ascii="宋体" w:hAnsi="宋体" w:eastAsia="宋体" w:cs="宋体"/>
                <w:snapToGrid w:val="0"/>
                <w:color w:val="auto"/>
                <w:kern w:val="2"/>
                <w:sz w:val="21"/>
                <w:szCs w:val="21"/>
                <w:lang w:val="zh-CN" w:eastAsia="zh-CN" w:bidi="ar-SA"/>
              </w:rPr>
              <w:t>所列3项以上情形的；</w:t>
            </w:r>
          </w:p>
          <w:p>
            <w:pPr>
              <w:widowControl w:val="0"/>
              <w:pBdr>
                <w:top w:val="none" w:color="auto" w:sz="0" w:space="0"/>
                <w:left w:val="none" w:color="auto" w:sz="0" w:space="0"/>
                <w:bottom w:val="none" w:color="auto" w:sz="0" w:space="0"/>
                <w:right w:val="none" w:color="auto" w:sz="0" w:space="0"/>
              </w:pBdr>
              <w:spacing w:before="0" w:after="0" w:line="390" w:lineRule="atLeast"/>
              <w:ind w:left="0" w:right="0" w:firstLine="420"/>
              <w:jc w:val="both"/>
              <w:textAlignment w:val="center"/>
              <w:rPr>
                <w:rFonts w:hint="eastAsia" w:ascii="Times New Roman" w:hAnsi="Times New Roman" w:eastAsia="宋体" w:cs="Times New Roman"/>
                <w:snapToGrid w:val="0"/>
                <w:kern w:val="2"/>
                <w:sz w:val="21"/>
                <w:szCs w:val="24"/>
                <w:lang w:val="en-US" w:eastAsia="zh-CN" w:bidi="ar-SA"/>
              </w:rPr>
            </w:pPr>
            <w:r>
              <w:rPr>
                <w:rFonts w:ascii="宋体" w:hAnsi="宋体" w:eastAsia="宋体" w:cs="宋体"/>
                <w:snapToGrid w:val="0"/>
                <w:color w:val="auto"/>
                <w:kern w:val="2"/>
                <w:sz w:val="21"/>
                <w:szCs w:val="21"/>
                <w:lang w:val="zh-CN" w:eastAsia="zh-CN" w:bidi="ar-SA"/>
              </w:rPr>
              <w:t>（二）涉案药品质量不符合标准的</w:t>
            </w:r>
            <w:r>
              <w:rPr>
                <w:rFonts w:hint="eastAsia" w:ascii="宋体" w:hAnsi="宋体" w:eastAsia="宋体" w:cs="宋体"/>
                <w:snapToGrid w:val="0"/>
                <w:color w:val="auto"/>
                <w:kern w:val="2"/>
                <w:sz w:val="21"/>
                <w:szCs w:val="21"/>
                <w:lang w:val="zh-CN" w:eastAsia="zh-CN" w:bidi="ar-SA"/>
              </w:rPr>
              <w:t>。</w:t>
            </w:r>
          </w:p>
        </w:tc>
      </w:tr>
    </w:tbl>
    <w:p>
      <w:pPr>
        <w:pStyle w:val="11"/>
        <w:keepNext w:val="0"/>
        <w:keepLines w:val="0"/>
        <w:pageBreakBefore w:val="0"/>
        <w:widowControl w:val="0"/>
        <w:kinsoku/>
        <w:wordWrap/>
        <w:overflowPunct/>
        <w:topLinePunct w:val="0"/>
        <w:autoSpaceDE w:val="0"/>
        <w:autoSpaceDN w:val="0"/>
        <w:bidi w:val="0"/>
        <w:adjustRightInd/>
        <w:snapToGrid/>
        <w:spacing w:line="240" w:lineRule="auto"/>
        <w:ind w:right="0" w:firstLine="421" w:firstLineChars="200"/>
        <w:jc w:val="both"/>
        <w:textAlignment w:val="auto"/>
        <w:rPr>
          <w:rFonts w:hint="eastAsia" w:ascii="Microsoft JhengHei"/>
          <w:b/>
          <w:sz w:val="21"/>
          <w:lang w:val="en-US" w:eastAsia="zh-CN"/>
        </w:rPr>
        <w:sectPr>
          <w:pgSz w:w="16838" w:h="11906" w:orient="landscape"/>
          <w:pgMar w:top="1800" w:right="1440" w:bottom="1800" w:left="1440" w:header="851" w:footer="992" w:gutter="0"/>
          <w:pgNumType w:fmt="decimal"/>
          <w:cols w:space="720" w:num="1"/>
          <w:docGrid w:type="lines" w:linePitch="312" w:charSpace="0"/>
        </w:sectPr>
      </w:pP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8"/>
        <w:gridCol w:w="1654"/>
        <w:gridCol w:w="2755"/>
        <w:gridCol w:w="2790"/>
        <w:gridCol w:w="2668"/>
        <w:gridCol w:w="33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jc w:val="center"/>
        </w:trPr>
        <w:tc>
          <w:tcPr>
            <w:tcW w:w="638" w:type="dxa"/>
            <w:vMerge w:val="restart"/>
            <w:tcBorders>
              <w:top w:val="single" w:color="auto" w:sz="4" w:space="0"/>
              <w:bottom w:val="nil"/>
              <w:right w:val="single" w:color="000000" w:sz="8" w:space="0"/>
            </w:tcBorders>
            <w:noWrap w:val="0"/>
            <w:vAlign w:val="center"/>
          </w:tcPr>
          <w:p>
            <w:pPr>
              <w:widowControl w:val="0"/>
              <w:snapToGrid w:val="0"/>
              <w:spacing w:line="400" w:lineRule="exact"/>
              <w:jc w:val="center"/>
              <w:rPr>
                <w:rFonts w:hint="default" w:ascii="Times New Roman" w:hAnsi="Times New Roman" w:eastAsia="宋体" w:cs="Times New Roman"/>
                <w:b/>
                <w:snapToGrid w:val="0"/>
                <w:kern w:val="2"/>
                <w:sz w:val="21"/>
                <w:szCs w:val="24"/>
                <w:lang w:val="en-US" w:eastAsia="zh-CN" w:bidi="ar-SA"/>
              </w:rPr>
            </w:pPr>
            <w:r>
              <w:rPr>
                <w:rFonts w:hint="eastAsia" w:ascii="Times New Roman" w:hAnsi="Times New Roman" w:cs="Times New Roman"/>
                <w:b/>
                <w:snapToGrid w:val="0"/>
                <w:kern w:val="2"/>
                <w:sz w:val="21"/>
                <w:szCs w:val="24"/>
                <w:lang w:val="en-US" w:eastAsia="zh-CN" w:bidi="ar-SA"/>
              </w:rPr>
              <w:t>12</w:t>
            </w:r>
          </w:p>
        </w:tc>
        <w:tc>
          <w:tcPr>
            <w:tcW w:w="1654" w:type="dxa"/>
            <w:noWrap w:val="0"/>
            <w:vAlign w:val="center"/>
          </w:tcPr>
          <w:p>
            <w:pPr>
              <w:widowControl w:val="0"/>
              <w:snapToGrid w:val="0"/>
              <w:spacing w:line="400" w:lineRule="exact"/>
              <w:jc w:val="center"/>
              <w:rPr>
                <w:rFonts w:hint="eastAsia" w:ascii="Times New Roman" w:hAnsi="Times New Roman" w:eastAsia="宋体" w:cs="Times New Roman"/>
                <w:b/>
                <w:snapToGrid w:val="0"/>
                <w:kern w:val="2"/>
                <w:sz w:val="21"/>
                <w:szCs w:val="24"/>
                <w:lang w:val="en-US" w:eastAsia="zh-CN" w:bidi="ar-SA"/>
              </w:rPr>
            </w:pPr>
            <w:r>
              <w:rPr>
                <w:rFonts w:hint="eastAsia" w:ascii="Times New Roman" w:hAnsi="Times New Roman" w:eastAsia="宋体" w:cs="Times New Roman"/>
                <w:b/>
                <w:snapToGrid w:val="0"/>
                <w:kern w:val="2"/>
                <w:sz w:val="21"/>
                <w:szCs w:val="24"/>
                <w:lang w:val="en-US" w:eastAsia="zh-CN" w:bidi="ar-SA"/>
              </w:rPr>
              <w:t>裁量条款</w:t>
            </w:r>
          </w:p>
        </w:tc>
        <w:tc>
          <w:tcPr>
            <w:tcW w:w="11534" w:type="dxa"/>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ascii="Times New Roman" w:hAnsi="Times New Roman" w:eastAsia="宋体" w:cs="Times New Roman"/>
                <w:b/>
                <w:snapToGrid w:val="0"/>
                <w:kern w:val="2"/>
                <w:sz w:val="21"/>
                <w:szCs w:val="24"/>
                <w:lang w:val="en-US" w:eastAsia="zh-CN" w:bidi="ar-SA"/>
              </w:rPr>
            </w:pPr>
            <w:r>
              <w:rPr>
                <w:rFonts w:hint="eastAsia" w:ascii="Microsoft JhengHei"/>
                <w:b/>
                <w:sz w:val="21"/>
                <w:lang w:val="en-US" w:eastAsia="zh-CN"/>
              </w:rPr>
              <w:t>第十二条  本条是对《反兴奋剂条例》第三十八条“并处违法生产、经营药品货值金额2倍以上5倍以下的罚款”裁量基准的规定。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1" w:hRule="atLeast"/>
          <w:jc w:val="center"/>
        </w:trPr>
        <w:tc>
          <w:tcPr>
            <w:tcW w:w="638"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654" w:type="dxa"/>
            <w:noWrap w:val="0"/>
            <w:vAlign w:val="center"/>
          </w:tcPr>
          <w:p>
            <w:pPr>
              <w:widowControl w:val="0"/>
              <w:snapToGrid w:val="0"/>
              <w:spacing w:line="400" w:lineRule="exact"/>
              <w:jc w:val="center"/>
              <w:rPr>
                <w:rFonts w:hint="eastAsia" w:ascii="Times New Roman" w:hAnsi="Times New Roman" w:eastAsia="宋体" w:cs="Times New Roman"/>
                <w:b/>
                <w:snapToGrid w:val="0"/>
                <w:kern w:val="2"/>
                <w:sz w:val="21"/>
                <w:szCs w:val="24"/>
                <w:lang w:val="en-US" w:eastAsia="zh-CN" w:bidi="ar-SA"/>
              </w:rPr>
            </w:pPr>
            <w:r>
              <w:rPr>
                <w:rFonts w:hint="eastAsia" w:ascii="Times New Roman" w:hAnsi="Times New Roman" w:eastAsia="宋体" w:cs="Times New Roman"/>
                <w:b/>
                <w:snapToGrid w:val="0"/>
                <w:kern w:val="2"/>
                <w:sz w:val="21"/>
                <w:szCs w:val="24"/>
                <w:lang w:val="en-US" w:eastAsia="zh-CN" w:bidi="ar-SA"/>
              </w:rPr>
              <w:t>关联法条</w:t>
            </w:r>
          </w:p>
        </w:tc>
        <w:tc>
          <w:tcPr>
            <w:tcW w:w="11534" w:type="dxa"/>
            <w:gridSpan w:val="4"/>
            <w:tcBorders>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eastAsia"/>
                <w:sz w:val="21"/>
                <w:lang w:val="en-US" w:eastAsia="zh-CN"/>
              </w:rPr>
            </w:pPr>
            <w:r>
              <w:rPr>
                <w:rFonts w:hint="eastAsia"/>
                <w:sz w:val="21"/>
                <w:lang w:val="en-US" w:eastAsia="zh-CN"/>
              </w:rPr>
              <w:t>《反兴奋剂条例》第三十八条　违反本条例规定，有下列行为之一的，由县级以上人民政府负责药品监督管理的部门按照国务院药品监督管理部门规定的职责分工，没收非法生产、经营的蛋白同化制剂、肽类激素和违法所得，并处违法生产、经营药品货值金额2倍以上5倍以下的罚款；情节严重的，由发证机关吊销《药品生产许可证》、《药品经营许可证》；构成犯罪的，依法追究刑事责任：</w:t>
            </w:r>
          </w:p>
          <w:p>
            <w:pPr>
              <w:pStyle w:val="11"/>
              <w:keepNext w:val="0"/>
              <w:keepLines w:val="0"/>
              <w:pageBreakBefore w:val="0"/>
              <w:widowControl w:val="0"/>
              <w:kinsoku/>
              <w:wordWrap/>
              <w:overflowPunct/>
              <w:topLinePunct w:val="0"/>
              <w:autoSpaceDE w:val="0"/>
              <w:autoSpaceDN w:val="0"/>
              <w:bidi w:val="0"/>
              <w:adjustRightInd/>
              <w:snapToGrid/>
              <w:spacing w:line="288" w:lineRule="auto"/>
              <w:ind w:right="0" w:firstLine="420" w:firstLineChars="200"/>
              <w:jc w:val="both"/>
              <w:textAlignment w:val="auto"/>
              <w:rPr>
                <w:rFonts w:hint="eastAsia"/>
                <w:sz w:val="21"/>
                <w:lang w:val="en-US" w:eastAsia="zh-CN"/>
              </w:rPr>
            </w:pPr>
            <w:r>
              <w:rPr>
                <w:rFonts w:hint="eastAsia"/>
                <w:sz w:val="21"/>
                <w:lang w:val="en-US" w:eastAsia="zh-CN"/>
              </w:rPr>
              <w:t>(一)生产企业擅自生产蛋白同化制剂、肽类激素，或者未按照本条例规定渠道供应蛋白同化制剂、肽类激素的；</w:t>
            </w:r>
          </w:p>
          <w:p>
            <w:pPr>
              <w:pStyle w:val="11"/>
              <w:keepNext w:val="0"/>
              <w:keepLines w:val="0"/>
              <w:pageBreakBefore w:val="0"/>
              <w:widowControl w:val="0"/>
              <w:kinsoku/>
              <w:wordWrap/>
              <w:overflowPunct/>
              <w:topLinePunct w:val="0"/>
              <w:autoSpaceDE w:val="0"/>
              <w:autoSpaceDN w:val="0"/>
              <w:bidi w:val="0"/>
              <w:adjustRightInd/>
              <w:snapToGrid/>
              <w:spacing w:line="288" w:lineRule="auto"/>
              <w:ind w:right="0" w:firstLine="420" w:firstLineChars="200"/>
              <w:jc w:val="both"/>
              <w:textAlignment w:val="auto"/>
              <w:rPr>
                <w:rFonts w:hint="eastAsia"/>
                <w:sz w:val="21"/>
                <w:lang w:val="en-US" w:eastAsia="zh-CN"/>
              </w:rPr>
            </w:pPr>
            <w:r>
              <w:rPr>
                <w:rFonts w:hint="eastAsia"/>
                <w:sz w:val="21"/>
                <w:lang w:val="en-US" w:eastAsia="zh-CN"/>
              </w:rPr>
              <w:t>(二)药品批发企业擅自经营蛋白同化制剂、肽类激素，或者未按照本条例规定渠道供应蛋白同化制剂、肽类激素的；</w:t>
            </w:r>
          </w:p>
          <w:p>
            <w:pPr>
              <w:pStyle w:val="11"/>
              <w:keepNext w:val="0"/>
              <w:keepLines w:val="0"/>
              <w:pageBreakBefore w:val="0"/>
              <w:widowControl w:val="0"/>
              <w:kinsoku/>
              <w:wordWrap/>
              <w:overflowPunct/>
              <w:topLinePunct w:val="0"/>
              <w:autoSpaceDE w:val="0"/>
              <w:autoSpaceDN w:val="0"/>
              <w:bidi w:val="0"/>
              <w:adjustRightInd/>
              <w:snapToGrid/>
              <w:spacing w:line="288" w:lineRule="auto"/>
              <w:ind w:right="0" w:firstLine="420" w:firstLineChars="200"/>
              <w:jc w:val="both"/>
              <w:textAlignment w:val="auto"/>
              <w:rPr>
                <w:rFonts w:ascii="Times New Roman" w:hAnsi="Times New Roman" w:eastAsia="宋体" w:cs="Times New Roman"/>
                <w:snapToGrid w:val="0"/>
                <w:kern w:val="2"/>
                <w:sz w:val="21"/>
                <w:szCs w:val="24"/>
                <w:lang w:val="en-US" w:eastAsia="zh-CN" w:bidi="ar-SA"/>
              </w:rPr>
            </w:pPr>
            <w:r>
              <w:rPr>
                <w:rFonts w:hint="eastAsia"/>
                <w:sz w:val="21"/>
                <w:lang w:val="en-US" w:eastAsia="zh-CN"/>
              </w:rPr>
              <w:t>(三)药品零售企业擅自经营蛋白同化制剂、肽类激素的。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638"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654" w:type="dxa"/>
            <w:tcBorders>
              <w:top w:val="single" w:color="000000" w:sz="8" w:space="0"/>
              <w:left w:val="single" w:color="000000" w:sz="8" w:space="0"/>
              <w:bottom w:val="single" w:color="000000" w:sz="8" w:space="0"/>
              <w:right w:val="single" w:color="000000" w:sz="8" w:space="0"/>
            </w:tcBorders>
            <w:noWrap w:val="0"/>
            <w:vAlign w:val="center"/>
          </w:tcPr>
          <w:p>
            <w:pPr>
              <w:widowControl w:val="0"/>
              <w:snapToGrid w:val="0"/>
              <w:spacing w:line="400" w:lineRule="exact"/>
              <w:jc w:val="center"/>
              <w:rPr>
                <w:rFonts w:ascii="Times New Roman" w:hAnsi="Times New Roman" w:eastAsia="Microsoft JhengHei" w:cs="Times New Roman"/>
                <w:b/>
                <w:snapToGrid w:val="0"/>
                <w:kern w:val="2"/>
                <w:sz w:val="21"/>
                <w:szCs w:val="24"/>
                <w:lang w:val="en-US" w:eastAsia="zh-CN" w:bidi="ar-SA"/>
              </w:rPr>
            </w:pPr>
            <w:r>
              <w:rPr>
                <w:rFonts w:hint="eastAsia" w:ascii="Times New Roman" w:hAnsi="Times New Roman" w:eastAsia="Microsoft JhengHei" w:cs="Times New Roman"/>
                <w:b/>
                <w:snapToGrid w:val="0"/>
                <w:kern w:val="2"/>
                <w:sz w:val="21"/>
                <w:szCs w:val="24"/>
                <w:lang w:val="en-US" w:eastAsia="zh-CN" w:bidi="ar-SA"/>
              </w:rPr>
              <w:t>裁量等级</w:t>
            </w:r>
          </w:p>
        </w:tc>
        <w:tc>
          <w:tcPr>
            <w:tcW w:w="2755"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减轻处罚幅度</w:t>
            </w:r>
          </w:p>
        </w:tc>
        <w:tc>
          <w:tcPr>
            <w:tcW w:w="2790"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从轻处罚幅度</w:t>
            </w:r>
          </w:p>
        </w:tc>
        <w:tc>
          <w:tcPr>
            <w:tcW w:w="2668"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一般处罚幅度</w:t>
            </w:r>
          </w:p>
        </w:tc>
        <w:tc>
          <w:tcPr>
            <w:tcW w:w="3321"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jc w:val="center"/>
        </w:trPr>
        <w:tc>
          <w:tcPr>
            <w:tcW w:w="638"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654" w:type="dxa"/>
            <w:tcBorders>
              <w:top w:val="single" w:color="000000" w:sz="8" w:space="0"/>
              <w:left w:val="single" w:color="000000" w:sz="8" w:space="0"/>
              <w:bottom w:val="single" w:color="000000" w:sz="8" w:space="0"/>
              <w:right w:val="single" w:color="000000" w:sz="8" w:space="0"/>
            </w:tcBorders>
            <w:noWrap w:val="0"/>
            <w:vAlign w:val="center"/>
          </w:tcPr>
          <w:p>
            <w:pPr>
              <w:widowControl w:val="0"/>
              <w:snapToGrid w:val="0"/>
              <w:spacing w:line="400" w:lineRule="exact"/>
              <w:jc w:val="center"/>
              <w:rPr>
                <w:rFonts w:ascii="Times New Roman" w:hAnsi="Times New Roman" w:eastAsia="Microsoft JhengHei" w:cs="Times New Roman"/>
                <w:b/>
                <w:snapToGrid w:val="0"/>
                <w:color w:val="000000"/>
                <w:kern w:val="2"/>
                <w:sz w:val="21"/>
                <w:szCs w:val="24"/>
                <w:lang w:val="en-US" w:eastAsia="zh-CN" w:bidi="ar-SA"/>
              </w:rPr>
            </w:pPr>
            <w:r>
              <w:rPr>
                <w:rFonts w:hint="eastAsia" w:ascii="Times New Roman" w:hAnsi="Times New Roman" w:eastAsia="Microsoft JhengHei" w:cs="Times New Roman"/>
                <w:b/>
                <w:snapToGrid w:val="0"/>
                <w:color w:val="000000"/>
                <w:kern w:val="2"/>
                <w:sz w:val="21"/>
                <w:szCs w:val="24"/>
                <w:lang w:val="en-US" w:eastAsia="zh-CN" w:bidi="ar-SA"/>
              </w:rPr>
              <w:t>裁量基准</w:t>
            </w:r>
          </w:p>
        </w:tc>
        <w:tc>
          <w:tcPr>
            <w:tcW w:w="2755"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r>
              <w:rPr>
                <w:rFonts w:hint="eastAsia"/>
                <w:sz w:val="21"/>
                <w:lang w:val="en-US" w:eastAsia="zh-CN"/>
              </w:rPr>
              <w:t>符合裁量规则减轻行政处罚情形的，处货值金额2倍以下的罚款。</w:t>
            </w:r>
          </w:p>
        </w:tc>
        <w:tc>
          <w:tcPr>
            <w:tcW w:w="2790"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从轻行政处罚，处货值金额2倍至2.9倍的罚款。</w:t>
            </w:r>
          </w:p>
        </w:tc>
        <w:tc>
          <w:tcPr>
            <w:tcW w:w="2668"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r>
              <w:rPr>
                <w:rFonts w:hint="eastAsia"/>
                <w:sz w:val="21"/>
                <w:lang w:val="en-US" w:eastAsia="zh-CN"/>
              </w:rPr>
              <w:t>一般行政处罚，处货值金额2.9倍以上4.1倍以下的罚款。</w:t>
            </w:r>
          </w:p>
        </w:tc>
        <w:tc>
          <w:tcPr>
            <w:tcW w:w="3321"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从重行政处罚，处货值金额4.1倍至5倍的罚款。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9" w:hRule="atLeast"/>
          <w:jc w:val="center"/>
        </w:trPr>
        <w:tc>
          <w:tcPr>
            <w:tcW w:w="638" w:type="dxa"/>
            <w:vMerge w:val="continue"/>
            <w:tcBorders>
              <w:right w:val="single" w:color="000000" w:sz="8" w:space="0"/>
            </w:tcBorders>
            <w:noWrap w:val="0"/>
            <w:vAlign w:val="center"/>
          </w:tcPr>
          <w:p>
            <w:pPr>
              <w:autoSpaceDE/>
              <w:autoSpaceDN/>
              <w:snapToGrid w:val="0"/>
              <w:spacing w:line="400" w:lineRule="exact"/>
              <w:jc w:val="both"/>
              <w:rPr>
                <w:rFonts w:ascii="Times New Roman" w:hAnsi="Times New Roman" w:cs="Times New Roman"/>
                <w:snapToGrid w:val="0"/>
                <w:kern w:val="2"/>
                <w:sz w:val="2"/>
                <w:szCs w:val="2"/>
                <w:lang w:val="en-US" w:bidi="ar-SA"/>
              </w:rPr>
            </w:pPr>
          </w:p>
        </w:tc>
        <w:tc>
          <w:tcPr>
            <w:tcW w:w="1654" w:type="dxa"/>
            <w:tcBorders>
              <w:top w:val="single" w:color="000000" w:sz="8" w:space="0"/>
              <w:left w:val="single" w:color="000000" w:sz="8" w:space="0"/>
              <w:bottom w:val="single" w:color="000000" w:sz="8" w:space="0"/>
              <w:right w:val="single" w:color="auto" w:sz="4" w:space="0"/>
            </w:tcBorders>
            <w:noWrap w:val="0"/>
            <w:vAlign w:val="center"/>
          </w:tcPr>
          <w:p>
            <w:pPr>
              <w:widowControl w:val="0"/>
              <w:autoSpaceDE w:val="0"/>
              <w:autoSpaceDN w:val="0"/>
              <w:snapToGrid w:val="0"/>
              <w:spacing w:line="400" w:lineRule="exact"/>
              <w:jc w:val="both"/>
              <w:rPr>
                <w:rFonts w:hint="eastAsia" w:ascii="Times New Roman" w:hAnsi="Times New Roman" w:eastAsia="宋体" w:cs="Times New Roman"/>
                <w:snapToGrid w:val="0"/>
                <w:kern w:val="2"/>
                <w:sz w:val="21"/>
                <w:szCs w:val="24"/>
                <w:lang w:val="en-US" w:eastAsia="zh-CN" w:bidi="ar-SA"/>
              </w:rPr>
            </w:pPr>
            <w:r>
              <w:rPr>
                <w:rFonts w:hint="eastAsia" w:ascii="Times New Roman" w:hAnsi="Times New Roman" w:eastAsia="Microsoft JhengHei" w:cs="Times New Roman"/>
                <w:b/>
                <w:snapToGrid w:val="0"/>
                <w:kern w:val="2"/>
                <w:sz w:val="21"/>
                <w:szCs w:val="24"/>
                <w:lang w:val="en-US" w:eastAsia="zh-CN" w:bidi="ar-SA"/>
              </w:rPr>
              <w:t>裁量因素</w:t>
            </w:r>
            <w:r>
              <w:rPr>
                <w:rFonts w:hint="eastAsia" w:ascii="Times New Roman" w:hAnsi="Times New Roman" w:eastAsia="Microsoft JhengHei" w:cs="Times New Roman"/>
                <w:bCs/>
                <w:snapToGrid w:val="0"/>
                <w:kern w:val="2"/>
                <w:sz w:val="21"/>
                <w:szCs w:val="24"/>
                <w:lang w:val="en-US" w:eastAsia="zh-CN" w:bidi="ar-SA"/>
              </w:rPr>
              <w:t>（是指在进行裁量时，除裁量规则规定的从轻、减轻、从重情形外，可以考虑的因素）</w:t>
            </w:r>
          </w:p>
        </w:tc>
        <w:tc>
          <w:tcPr>
            <w:tcW w:w="11534" w:type="dxa"/>
            <w:gridSpan w:val="4"/>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157" w:afterLines="50" w:line="240" w:lineRule="auto"/>
              <w:ind w:firstLine="420" w:firstLineChars="200"/>
              <w:jc w:val="both"/>
              <w:textAlignment w:val="auto"/>
              <w:rPr>
                <w:rFonts w:hint="eastAsia" w:ascii="Times New Roman" w:hAnsi="Times New Roman" w:eastAsia="宋体" w:cs="Times New Roman"/>
                <w:snapToGrid w:val="0"/>
                <w:kern w:val="2"/>
                <w:sz w:val="21"/>
                <w:szCs w:val="24"/>
                <w:lang w:val="en-US" w:eastAsia="zh-CN" w:bidi="ar-SA"/>
              </w:rPr>
            </w:pPr>
            <w:r>
              <w:rPr>
                <w:rFonts w:hint="eastAsia" w:ascii="Times New Roman" w:hAnsi="Times New Roman" w:cs="Times New Roman" w:eastAsiaTheme="minorEastAsia"/>
                <w:snapToGrid w:val="0"/>
                <w:kern w:val="2"/>
                <w:sz w:val="21"/>
                <w:szCs w:val="24"/>
                <w:lang w:val="en-US" w:eastAsia="zh-CN" w:bidi="ar-SA"/>
              </w:rPr>
              <w:t>注：生产企业擅自生产蛋白同化制剂、肽类激素；药品批发企业擅自经营蛋白同化制剂、肽类激素；药品零售企业擅自经营蛋白同化制剂、肽类激素这三种情况与现行法律法规规章精神不符，谨慎适用。</w:t>
            </w:r>
          </w:p>
        </w:tc>
      </w:tr>
    </w:tbl>
    <w:p>
      <w:pPr>
        <w:pStyle w:val="11"/>
        <w:keepNext w:val="0"/>
        <w:keepLines w:val="0"/>
        <w:pageBreakBefore w:val="0"/>
        <w:widowControl w:val="0"/>
        <w:kinsoku/>
        <w:wordWrap/>
        <w:overflowPunct/>
        <w:topLinePunct w:val="0"/>
        <w:autoSpaceDE w:val="0"/>
        <w:autoSpaceDN w:val="0"/>
        <w:bidi w:val="0"/>
        <w:adjustRightInd/>
        <w:snapToGrid/>
        <w:spacing w:line="240" w:lineRule="auto"/>
        <w:ind w:right="0" w:firstLine="421" w:firstLineChars="200"/>
        <w:jc w:val="both"/>
        <w:textAlignment w:val="auto"/>
        <w:rPr>
          <w:rFonts w:hint="eastAsia" w:ascii="Microsoft JhengHei"/>
          <w:b/>
          <w:sz w:val="21"/>
          <w:lang w:val="en-US" w:eastAsia="zh-CN"/>
        </w:rPr>
        <w:sectPr>
          <w:pgSz w:w="16838" w:h="11906" w:orient="landscape"/>
          <w:pgMar w:top="1800" w:right="1440" w:bottom="1800" w:left="1440" w:header="851" w:footer="992" w:gutter="0"/>
          <w:pgNumType w:fmt="decimal"/>
          <w:cols w:space="720" w:num="1"/>
          <w:docGrid w:type="lines" w:linePitch="312" w:charSpace="0"/>
        </w:sectPr>
      </w:pPr>
    </w:p>
    <w:tbl>
      <w:tblPr>
        <w:tblStyle w:val="8"/>
        <w:tblpPr w:leftFromText="180" w:rightFromText="180" w:vertAnchor="page" w:horzAnchor="page" w:tblpX="1537" w:tblpY="2090"/>
        <w:tblOverlap w:val="never"/>
        <w:tblW w:w="140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3"/>
        <w:gridCol w:w="1658"/>
        <w:gridCol w:w="2748"/>
        <w:gridCol w:w="3072"/>
        <w:gridCol w:w="2937"/>
        <w:gridCol w:w="3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623" w:type="dxa"/>
            <w:vMerge w:val="restart"/>
            <w:tcBorders>
              <w:top w:val="single" w:color="auto" w:sz="4" w:space="0"/>
              <w:bottom w:val="nil"/>
              <w:right w:val="single" w:color="000000" w:sz="8" w:space="0"/>
            </w:tcBorders>
            <w:noWrap w:val="0"/>
            <w:vAlign w:val="center"/>
          </w:tcPr>
          <w:p>
            <w:pPr>
              <w:widowControl w:val="0"/>
              <w:snapToGrid w:val="0"/>
              <w:spacing w:line="400" w:lineRule="exact"/>
              <w:jc w:val="center"/>
              <w:rPr>
                <w:rFonts w:hint="default" w:ascii="Times New Roman" w:hAnsi="Times New Roman" w:eastAsia="宋体" w:cs="Times New Roman"/>
                <w:b/>
                <w:snapToGrid w:val="0"/>
                <w:kern w:val="2"/>
                <w:sz w:val="21"/>
                <w:szCs w:val="24"/>
                <w:lang w:val="en-US" w:eastAsia="zh-CN" w:bidi="ar-SA"/>
              </w:rPr>
            </w:pPr>
            <w:r>
              <w:rPr>
                <w:rFonts w:hint="eastAsia" w:ascii="Times New Roman" w:hAnsi="Times New Roman" w:cs="Times New Roman"/>
                <w:b/>
                <w:snapToGrid w:val="0"/>
                <w:kern w:val="2"/>
                <w:sz w:val="21"/>
                <w:szCs w:val="24"/>
                <w:lang w:val="en-US" w:eastAsia="zh-CN" w:bidi="ar-SA"/>
              </w:rPr>
              <w:t>13</w:t>
            </w:r>
          </w:p>
        </w:tc>
        <w:tc>
          <w:tcPr>
            <w:tcW w:w="1658" w:type="dxa"/>
            <w:noWrap w:val="0"/>
            <w:vAlign w:val="center"/>
          </w:tcPr>
          <w:p>
            <w:pPr>
              <w:widowControl w:val="0"/>
              <w:snapToGrid w:val="0"/>
              <w:spacing w:line="400" w:lineRule="exact"/>
              <w:jc w:val="center"/>
              <w:rPr>
                <w:rFonts w:hint="eastAsia" w:ascii="Times New Roman" w:hAnsi="Times New Roman" w:eastAsia="宋体" w:cs="Times New Roman"/>
                <w:b/>
                <w:snapToGrid w:val="0"/>
                <w:kern w:val="2"/>
                <w:sz w:val="21"/>
                <w:szCs w:val="24"/>
                <w:lang w:val="en-US" w:eastAsia="zh-CN" w:bidi="ar-SA"/>
              </w:rPr>
            </w:pPr>
            <w:r>
              <w:rPr>
                <w:rFonts w:hint="eastAsia" w:ascii="Times New Roman" w:hAnsi="Times New Roman" w:eastAsia="宋体" w:cs="Times New Roman"/>
                <w:b/>
                <w:snapToGrid w:val="0"/>
                <w:kern w:val="2"/>
                <w:sz w:val="21"/>
                <w:szCs w:val="24"/>
                <w:lang w:val="en-US" w:eastAsia="zh-CN" w:bidi="ar-SA"/>
              </w:rPr>
              <w:t>裁量条款</w:t>
            </w:r>
          </w:p>
        </w:tc>
        <w:tc>
          <w:tcPr>
            <w:tcW w:w="11810" w:type="dxa"/>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ascii="Times New Roman" w:hAnsi="Times New Roman" w:eastAsia="宋体" w:cs="Times New Roman"/>
                <w:b/>
                <w:snapToGrid w:val="0"/>
                <w:kern w:val="2"/>
                <w:sz w:val="21"/>
                <w:szCs w:val="24"/>
                <w:lang w:val="en-US" w:eastAsia="zh-CN" w:bidi="ar-SA"/>
              </w:rPr>
            </w:pPr>
            <w:r>
              <w:rPr>
                <w:rFonts w:hint="eastAsia" w:ascii="Microsoft JhengHei"/>
                <w:b/>
                <w:sz w:val="21"/>
                <w:lang w:val="en-US" w:eastAsia="zh-CN"/>
              </w:rPr>
              <w:t>第十三条  本条是对《易制毒化学品管理条例》第四十条“处1万元以上5万元以下的罚款”裁量基准的规定。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623"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658" w:type="dxa"/>
            <w:noWrap w:val="0"/>
            <w:vAlign w:val="center"/>
          </w:tcPr>
          <w:p>
            <w:pPr>
              <w:widowControl w:val="0"/>
              <w:snapToGrid w:val="0"/>
              <w:spacing w:line="400" w:lineRule="exact"/>
              <w:jc w:val="center"/>
              <w:rPr>
                <w:rFonts w:hint="eastAsia" w:ascii="Times New Roman" w:hAnsi="Times New Roman" w:eastAsia="宋体" w:cs="Times New Roman"/>
                <w:b/>
                <w:snapToGrid w:val="0"/>
                <w:kern w:val="2"/>
                <w:sz w:val="21"/>
                <w:szCs w:val="24"/>
                <w:lang w:val="en-US" w:eastAsia="zh-CN" w:bidi="ar-SA"/>
              </w:rPr>
            </w:pPr>
            <w:r>
              <w:rPr>
                <w:rFonts w:hint="eastAsia" w:ascii="Times New Roman" w:hAnsi="Times New Roman" w:eastAsia="宋体" w:cs="Times New Roman"/>
                <w:b/>
                <w:snapToGrid w:val="0"/>
                <w:kern w:val="2"/>
                <w:sz w:val="21"/>
                <w:szCs w:val="24"/>
                <w:lang w:val="en-US" w:eastAsia="zh-CN" w:bidi="ar-SA"/>
              </w:rPr>
              <w:t>关联法条</w:t>
            </w:r>
          </w:p>
        </w:tc>
        <w:tc>
          <w:tcPr>
            <w:tcW w:w="11810" w:type="dxa"/>
            <w:gridSpan w:val="4"/>
            <w:tcBorders>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eastAsia"/>
                <w:sz w:val="21"/>
                <w:lang w:val="en-US" w:eastAsia="zh-CN"/>
              </w:rPr>
            </w:pPr>
            <w:r>
              <w:rPr>
                <w:rFonts w:hint="eastAsia"/>
                <w:sz w:val="21"/>
                <w:lang w:val="en-US" w:eastAsia="zh-CN"/>
              </w:rPr>
              <w:t>《易制毒化学品管理条例》第四十条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eastAsia"/>
                <w:sz w:val="21"/>
                <w:lang w:val="en-US" w:eastAsia="zh-CN"/>
              </w:rPr>
            </w:pPr>
            <w:r>
              <w:rPr>
                <w:rFonts w:hint="eastAsia"/>
                <w:sz w:val="21"/>
                <w:lang w:val="en-US" w:eastAsia="zh-CN"/>
              </w:rPr>
              <w:t>(一)易制毒化学品生产、经营、购买、运输或者进口、出口单位未按规定建立安全管理制度的；</w:t>
            </w:r>
          </w:p>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eastAsia"/>
                <w:sz w:val="21"/>
                <w:lang w:val="en-US" w:eastAsia="zh-CN"/>
              </w:rPr>
            </w:pPr>
            <w:r>
              <w:rPr>
                <w:rFonts w:hint="eastAsia"/>
                <w:sz w:val="21"/>
                <w:lang w:val="en-US" w:eastAsia="zh-CN"/>
              </w:rPr>
              <w:t>(二)将许可证或者备案证明转借他人使用的；</w:t>
            </w:r>
          </w:p>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eastAsia"/>
                <w:sz w:val="21"/>
                <w:lang w:val="en-US" w:eastAsia="zh-CN"/>
              </w:rPr>
            </w:pPr>
            <w:r>
              <w:rPr>
                <w:rFonts w:hint="eastAsia"/>
                <w:sz w:val="21"/>
                <w:lang w:val="en-US" w:eastAsia="zh-CN"/>
              </w:rPr>
              <w:t>(三)超出许可的品种、数量生产、经营、购买易制毒化学品的；</w:t>
            </w:r>
          </w:p>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eastAsia"/>
                <w:sz w:val="21"/>
                <w:lang w:val="en-US" w:eastAsia="zh-CN"/>
              </w:rPr>
            </w:pPr>
            <w:r>
              <w:rPr>
                <w:rFonts w:hint="eastAsia"/>
                <w:sz w:val="21"/>
                <w:lang w:val="en-US" w:eastAsia="zh-CN"/>
              </w:rPr>
              <w:t>(四)生产、经营、购买单位不记录或者不如实记录交易情况、不按规定保存交易记录或者不如实、不及时向公安机关和有关行政主管部门备案销售情况的；</w:t>
            </w:r>
          </w:p>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eastAsia"/>
                <w:sz w:val="21"/>
                <w:lang w:val="en-US" w:eastAsia="zh-CN"/>
              </w:rPr>
            </w:pPr>
            <w:r>
              <w:rPr>
                <w:rFonts w:hint="eastAsia"/>
                <w:sz w:val="21"/>
                <w:lang w:val="en-US" w:eastAsia="zh-CN"/>
              </w:rPr>
              <w:t>(五)易制毒化学品丢失、被盗、被抢后未及时报告，造成严重后果的；</w:t>
            </w:r>
          </w:p>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eastAsia"/>
                <w:sz w:val="21"/>
                <w:lang w:val="en-US" w:eastAsia="zh-CN"/>
              </w:rPr>
            </w:pPr>
            <w:r>
              <w:rPr>
                <w:rFonts w:hint="eastAsia"/>
                <w:sz w:val="21"/>
                <w:lang w:val="en-US" w:eastAsia="zh-CN"/>
              </w:rPr>
              <w:t>(六)除个人合法购买第一类中的药品类易制毒化学品药品制剂以及第三类易制毒化学品外，使用现金或者实物进行易制毒化学品交易的；</w:t>
            </w:r>
          </w:p>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eastAsia"/>
                <w:sz w:val="21"/>
                <w:lang w:val="en-US" w:eastAsia="zh-CN"/>
              </w:rPr>
            </w:pPr>
            <w:r>
              <w:rPr>
                <w:rFonts w:hint="eastAsia"/>
                <w:sz w:val="21"/>
                <w:lang w:val="en-US" w:eastAsia="zh-CN"/>
              </w:rPr>
              <w:t>(七)易制毒化学品的产品包装和使用说明书不符合本条例规定要求的；</w:t>
            </w:r>
          </w:p>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eastAsia"/>
                <w:sz w:val="21"/>
                <w:lang w:val="en-US" w:eastAsia="zh-CN"/>
              </w:rPr>
            </w:pPr>
            <w:r>
              <w:rPr>
                <w:rFonts w:hint="eastAsia"/>
                <w:sz w:val="21"/>
                <w:lang w:val="en-US" w:eastAsia="zh-CN"/>
              </w:rPr>
              <w:t>(八)生产、经营易制毒化学品的单位不如实或者不按时向有关行政主管部门和公安机关报告年度生产、经销和库存等情况的。</w:t>
            </w:r>
          </w:p>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eastAsia" w:ascii="Times New Roman" w:hAnsi="Times New Roman" w:eastAsia="宋体" w:cs="Times New Roman"/>
                <w:snapToGrid w:val="0"/>
                <w:kern w:val="2"/>
                <w:sz w:val="21"/>
                <w:szCs w:val="24"/>
                <w:lang w:val="en-US" w:eastAsia="zh-CN" w:bidi="ar-SA"/>
              </w:rPr>
            </w:pPr>
            <w:r>
              <w:rPr>
                <w:rFonts w:hint="eastAsia"/>
                <w:sz w:val="21"/>
                <w:lang w:val="en-US" w:eastAsia="zh-CN"/>
              </w:rPr>
              <w:t>企业的易制毒化学品生产经营许可被依法吊销后，未及时到市场监督管理部门办理经营范围变更或者企业注销登记的，依照前款规定，对易制毒化学品予以没收，并处罚款。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623"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658" w:type="dxa"/>
            <w:tcBorders>
              <w:top w:val="single" w:color="000000" w:sz="8" w:space="0"/>
              <w:left w:val="single" w:color="000000" w:sz="8" w:space="0"/>
              <w:bottom w:val="single" w:color="000000" w:sz="8" w:space="0"/>
              <w:right w:val="single" w:color="000000" w:sz="8" w:space="0"/>
            </w:tcBorders>
            <w:noWrap w:val="0"/>
            <w:vAlign w:val="center"/>
          </w:tcPr>
          <w:p>
            <w:pPr>
              <w:widowControl w:val="0"/>
              <w:snapToGrid w:val="0"/>
              <w:spacing w:line="400" w:lineRule="exact"/>
              <w:jc w:val="center"/>
              <w:rPr>
                <w:rFonts w:ascii="Times New Roman" w:hAnsi="Times New Roman" w:eastAsia="Microsoft JhengHei" w:cs="Times New Roman"/>
                <w:b/>
                <w:snapToGrid w:val="0"/>
                <w:kern w:val="2"/>
                <w:sz w:val="21"/>
                <w:szCs w:val="24"/>
                <w:lang w:val="en-US" w:eastAsia="zh-CN" w:bidi="ar-SA"/>
              </w:rPr>
            </w:pPr>
            <w:r>
              <w:rPr>
                <w:rFonts w:hint="eastAsia" w:ascii="Times New Roman" w:hAnsi="Times New Roman" w:eastAsia="Microsoft JhengHei" w:cs="Times New Roman"/>
                <w:b/>
                <w:snapToGrid w:val="0"/>
                <w:kern w:val="2"/>
                <w:sz w:val="21"/>
                <w:szCs w:val="24"/>
                <w:lang w:val="en-US" w:eastAsia="zh-CN" w:bidi="ar-SA"/>
              </w:rPr>
              <w:t>裁量等级</w:t>
            </w:r>
          </w:p>
        </w:tc>
        <w:tc>
          <w:tcPr>
            <w:tcW w:w="2748"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减轻处罚幅度</w:t>
            </w:r>
          </w:p>
        </w:tc>
        <w:tc>
          <w:tcPr>
            <w:tcW w:w="3072"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从轻处罚幅度</w:t>
            </w:r>
          </w:p>
        </w:tc>
        <w:tc>
          <w:tcPr>
            <w:tcW w:w="2937"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一般处罚幅度</w:t>
            </w:r>
          </w:p>
        </w:tc>
        <w:tc>
          <w:tcPr>
            <w:tcW w:w="3053"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623"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658" w:type="dxa"/>
            <w:tcBorders>
              <w:top w:val="single" w:color="000000" w:sz="8" w:space="0"/>
              <w:left w:val="single" w:color="000000" w:sz="8" w:space="0"/>
              <w:bottom w:val="single" w:color="000000" w:sz="8" w:space="0"/>
              <w:right w:val="single" w:color="000000" w:sz="8" w:space="0"/>
            </w:tcBorders>
            <w:noWrap w:val="0"/>
            <w:vAlign w:val="center"/>
          </w:tcPr>
          <w:p>
            <w:pPr>
              <w:widowControl w:val="0"/>
              <w:snapToGrid w:val="0"/>
              <w:spacing w:line="400" w:lineRule="exact"/>
              <w:jc w:val="center"/>
              <w:rPr>
                <w:rFonts w:ascii="Times New Roman" w:hAnsi="Times New Roman" w:eastAsia="Microsoft JhengHei" w:cs="Times New Roman"/>
                <w:b/>
                <w:snapToGrid w:val="0"/>
                <w:color w:val="000000"/>
                <w:kern w:val="2"/>
                <w:sz w:val="21"/>
                <w:szCs w:val="24"/>
                <w:lang w:val="en-US" w:eastAsia="zh-CN" w:bidi="ar-SA"/>
              </w:rPr>
            </w:pPr>
            <w:r>
              <w:rPr>
                <w:rFonts w:hint="eastAsia" w:ascii="Times New Roman" w:hAnsi="Times New Roman" w:eastAsia="Microsoft JhengHei" w:cs="Times New Roman"/>
                <w:b/>
                <w:snapToGrid w:val="0"/>
                <w:color w:val="000000"/>
                <w:kern w:val="2"/>
                <w:sz w:val="21"/>
                <w:szCs w:val="24"/>
                <w:lang w:val="en-US" w:eastAsia="zh-CN" w:bidi="ar-SA"/>
              </w:rPr>
              <w:t>裁量基准</w:t>
            </w:r>
          </w:p>
        </w:tc>
        <w:tc>
          <w:tcPr>
            <w:tcW w:w="2748"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r>
              <w:rPr>
                <w:rFonts w:hint="eastAsia"/>
                <w:sz w:val="21"/>
                <w:lang w:val="en-US" w:eastAsia="zh-CN"/>
              </w:rPr>
              <w:t>符合裁量规则减轻行政处罚情形的，处1万元以下的罚款。</w:t>
            </w:r>
          </w:p>
        </w:tc>
        <w:tc>
          <w:tcPr>
            <w:tcW w:w="3072"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从轻行政处罚，处1万元至2.2万元的罚款。</w:t>
            </w:r>
          </w:p>
        </w:tc>
        <w:tc>
          <w:tcPr>
            <w:tcW w:w="2937"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r>
              <w:rPr>
                <w:rFonts w:hint="eastAsia"/>
                <w:sz w:val="21"/>
                <w:lang w:val="en-US" w:eastAsia="zh-CN"/>
              </w:rPr>
              <w:t>一般行政处罚，处2.2万元以上3.8万元以下的罚款。</w:t>
            </w:r>
          </w:p>
        </w:tc>
        <w:tc>
          <w:tcPr>
            <w:tcW w:w="3053"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从重行政处罚，处3.8万元至5万元的罚款。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623" w:type="dxa"/>
            <w:vMerge w:val="continue"/>
            <w:tcBorders>
              <w:right w:val="single" w:color="000000" w:sz="8" w:space="0"/>
            </w:tcBorders>
            <w:noWrap w:val="0"/>
            <w:vAlign w:val="center"/>
          </w:tcPr>
          <w:p>
            <w:pPr>
              <w:autoSpaceDE/>
              <w:autoSpaceDN/>
              <w:snapToGrid w:val="0"/>
              <w:spacing w:line="400" w:lineRule="exact"/>
              <w:jc w:val="both"/>
              <w:rPr>
                <w:rFonts w:ascii="Times New Roman" w:hAnsi="Times New Roman" w:cs="Times New Roman"/>
                <w:snapToGrid w:val="0"/>
                <w:kern w:val="2"/>
                <w:sz w:val="2"/>
                <w:szCs w:val="2"/>
                <w:lang w:val="en-US" w:bidi="ar-SA"/>
              </w:rPr>
            </w:pPr>
          </w:p>
        </w:tc>
        <w:tc>
          <w:tcPr>
            <w:tcW w:w="1658" w:type="dxa"/>
            <w:tcBorders>
              <w:top w:val="single" w:color="000000" w:sz="8" w:space="0"/>
              <w:left w:val="single" w:color="000000" w:sz="8" w:space="0"/>
              <w:bottom w:val="single" w:color="000000" w:sz="8"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80" w:lineRule="exact"/>
              <w:jc w:val="both"/>
              <w:textAlignment w:val="auto"/>
              <w:rPr>
                <w:rFonts w:hint="eastAsia" w:ascii="Times New Roman" w:hAnsi="Times New Roman" w:eastAsia="宋体" w:cs="Times New Roman"/>
                <w:snapToGrid w:val="0"/>
                <w:kern w:val="2"/>
                <w:sz w:val="21"/>
                <w:szCs w:val="24"/>
                <w:lang w:val="en-US" w:eastAsia="zh-CN" w:bidi="ar-SA"/>
              </w:rPr>
            </w:pPr>
            <w:r>
              <w:rPr>
                <w:rFonts w:hint="eastAsia" w:ascii="Times New Roman" w:hAnsi="Times New Roman" w:eastAsia="Microsoft JhengHei" w:cs="Times New Roman"/>
                <w:b/>
                <w:snapToGrid w:val="0"/>
                <w:kern w:val="2"/>
                <w:sz w:val="21"/>
                <w:szCs w:val="24"/>
                <w:lang w:val="en-US" w:eastAsia="zh-CN" w:bidi="ar-SA"/>
              </w:rPr>
              <w:t>裁量因素</w:t>
            </w:r>
            <w:r>
              <w:rPr>
                <w:rFonts w:hint="eastAsia" w:ascii="Times New Roman" w:hAnsi="Times New Roman" w:eastAsia="Microsoft JhengHei" w:cs="Times New Roman"/>
                <w:bCs/>
                <w:snapToGrid w:val="0"/>
                <w:kern w:val="2"/>
                <w:sz w:val="21"/>
                <w:szCs w:val="24"/>
                <w:lang w:val="en-US" w:eastAsia="zh-CN" w:bidi="ar-SA"/>
              </w:rPr>
              <w:t>（是指在进行裁量时，除裁量规则规定的从轻、减轻、从重情形外，可以考虑的因素）</w:t>
            </w:r>
          </w:p>
        </w:tc>
        <w:tc>
          <w:tcPr>
            <w:tcW w:w="11810" w:type="dxa"/>
            <w:gridSpan w:val="4"/>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0" w:firstLineChars="0"/>
              <w:jc w:val="both"/>
              <w:textAlignment w:val="auto"/>
              <w:rPr>
                <w:rFonts w:hint="eastAsia" w:ascii="宋体" w:hAnsi="宋体" w:eastAsia="宋体" w:cs="宋体"/>
                <w:b/>
                <w:bCs/>
                <w:snapToGrid w:val="0"/>
                <w:color w:val="auto"/>
                <w:kern w:val="2"/>
                <w:sz w:val="21"/>
                <w:szCs w:val="21"/>
                <w:highlight w:val="none"/>
                <w:lang w:val="en-US" w:eastAsia="zh-CN" w:bidi="ar-SA"/>
              </w:rPr>
            </w:pPr>
            <w:r>
              <w:rPr>
                <w:rFonts w:hint="eastAsia" w:ascii="宋体" w:hAnsi="宋体" w:eastAsia="宋体" w:cs="宋体"/>
                <w:b/>
                <w:bCs/>
                <w:snapToGrid w:val="0"/>
                <w:color w:val="auto"/>
                <w:kern w:val="2"/>
                <w:sz w:val="21"/>
                <w:szCs w:val="21"/>
                <w:highlight w:val="none"/>
                <w:lang w:val="en-US" w:eastAsia="zh-CN" w:bidi="ar-SA"/>
              </w:rPr>
              <w:t>从轻处罚考虑因素：</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0" w:firstLineChars="200"/>
              <w:jc w:val="both"/>
              <w:textAlignment w:val="auto"/>
              <w:rPr>
                <w:rFonts w:hint="eastAsia" w:ascii="Times New Roman" w:hAnsi="Times New Roman" w:eastAsia="宋体" w:cs="Times New Roman"/>
                <w:snapToGrid w:val="0"/>
                <w:color w:val="auto"/>
                <w:kern w:val="2"/>
                <w:sz w:val="21"/>
                <w:szCs w:val="24"/>
                <w:highlight w:val="none"/>
                <w:lang w:val="en-US" w:eastAsia="zh-CN" w:bidi="ar-SA"/>
              </w:rPr>
            </w:pPr>
            <w:r>
              <w:rPr>
                <w:rFonts w:hint="eastAsia" w:ascii="宋体" w:hAnsi="宋体" w:eastAsia="宋体" w:cs="宋体"/>
                <w:snapToGrid w:val="0"/>
                <w:color w:val="auto"/>
                <w:kern w:val="2"/>
                <w:sz w:val="21"/>
                <w:szCs w:val="21"/>
                <w:highlight w:val="none"/>
                <w:lang w:val="zh-CN" w:eastAsia="zh-CN" w:bidi="ar-SA"/>
              </w:rPr>
              <w:t>（</w:t>
            </w:r>
            <w:r>
              <w:rPr>
                <w:rFonts w:hint="eastAsia" w:ascii="宋体" w:hAnsi="宋体" w:eastAsia="宋体" w:cs="宋体"/>
                <w:snapToGrid w:val="0"/>
                <w:color w:val="auto"/>
                <w:kern w:val="2"/>
                <w:sz w:val="21"/>
                <w:szCs w:val="21"/>
                <w:highlight w:val="none"/>
                <w:lang w:val="en-US" w:eastAsia="zh-CN" w:bidi="ar-SA"/>
              </w:rPr>
              <w:t>一</w:t>
            </w:r>
            <w:r>
              <w:rPr>
                <w:rFonts w:hint="eastAsia" w:ascii="宋体" w:hAnsi="宋体" w:eastAsia="宋体" w:cs="宋体"/>
                <w:snapToGrid w:val="0"/>
                <w:color w:val="auto"/>
                <w:kern w:val="2"/>
                <w:sz w:val="21"/>
                <w:szCs w:val="21"/>
                <w:highlight w:val="none"/>
                <w:lang w:val="zh-CN" w:eastAsia="zh-CN" w:bidi="ar-SA"/>
              </w:rPr>
              <w:t>）</w:t>
            </w:r>
            <w:r>
              <w:rPr>
                <w:rFonts w:ascii="宋体" w:hAnsi="宋体" w:eastAsia="宋体" w:cs="宋体"/>
                <w:snapToGrid w:val="0"/>
                <w:color w:val="auto"/>
                <w:kern w:val="2"/>
                <w:sz w:val="21"/>
                <w:szCs w:val="21"/>
                <w:highlight w:val="none"/>
                <w:lang w:val="zh-CN" w:eastAsia="zh-CN" w:bidi="ar-SA"/>
              </w:rPr>
              <w:t>涉案药品类易制毒化学品质量符合标准的；</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0" w:firstLineChars="200"/>
              <w:jc w:val="both"/>
              <w:textAlignment w:val="auto"/>
              <w:rPr>
                <w:rFonts w:hint="eastAsia" w:ascii="Times New Roman" w:hAnsi="Times New Roman" w:eastAsia="宋体" w:cs="Times New Roman"/>
                <w:snapToGrid w:val="0"/>
                <w:color w:val="auto"/>
                <w:kern w:val="2"/>
                <w:sz w:val="21"/>
                <w:szCs w:val="24"/>
                <w:highlight w:val="none"/>
                <w:lang w:val="en-US" w:eastAsia="zh-CN" w:bidi="ar-SA"/>
              </w:rPr>
            </w:pPr>
            <w:r>
              <w:rPr>
                <w:rFonts w:hint="eastAsia" w:ascii="Times New Roman" w:hAnsi="Times New Roman" w:eastAsia="宋体" w:cs="Times New Roman"/>
                <w:snapToGrid w:val="0"/>
                <w:color w:val="auto"/>
                <w:kern w:val="2"/>
                <w:sz w:val="21"/>
                <w:szCs w:val="24"/>
                <w:highlight w:val="none"/>
                <w:lang w:val="en-US" w:eastAsia="zh-CN" w:bidi="ar-SA"/>
              </w:rPr>
              <w:t>（二）未造成易制毒化学品流弊的。</w:t>
            </w:r>
          </w:p>
          <w:p>
            <w:pPr>
              <w:keepNext w:val="0"/>
              <w:keepLines w:val="0"/>
              <w:pageBreakBefore w:val="0"/>
              <w:widowControl w:val="0"/>
              <w:kinsoku/>
              <w:wordWrap/>
              <w:overflowPunct/>
              <w:topLinePunct w:val="0"/>
              <w:autoSpaceDE w:val="0"/>
              <w:autoSpaceDN w:val="0"/>
              <w:bidi w:val="0"/>
              <w:adjustRightInd/>
              <w:snapToGrid w:val="0"/>
              <w:spacing w:before="157" w:beforeLines="50" w:after="157" w:afterLines="50" w:line="240" w:lineRule="auto"/>
              <w:jc w:val="both"/>
              <w:textAlignment w:val="auto"/>
              <w:rPr>
                <w:rFonts w:hint="eastAsia" w:ascii="宋体" w:hAnsi="宋体" w:eastAsia="宋体" w:cs="宋体"/>
                <w:b/>
                <w:bCs/>
                <w:snapToGrid w:val="0"/>
                <w:color w:val="auto"/>
                <w:kern w:val="2"/>
                <w:sz w:val="21"/>
                <w:szCs w:val="21"/>
                <w:highlight w:val="none"/>
                <w:lang w:val="en-US" w:eastAsia="zh-CN" w:bidi="ar-SA"/>
              </w:rPr>
            </w:pPr>
            <w:r>
              <w:rPr>
                <w:rFonts w:hint="eastAsia" w:ascii="宋体" w:hAnsi="宋体" w:eastAsia="宋体" w:cs="宋体"/>
                <w:b/>
                <w:bCs/>
                <w:snapToGrid w:val="0"/>
                <w:color w:val="auto"/>
                <w:kern w:val="2"/>
                <w:sz w:val="21"/>
                <w:szCs w:val="21"/>
                <w:highlight w:val="none"/>
                <w:lang w:val="en-US" w:eastAsia="zh-CN" w:bidi="ar-SA"/>
              </w:rPr>
              <w:t>从重处罚考虑因素：</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0" w:firstLineChars="200"/>
              <w:jc w:val="both"/>
              <w:textAlignment w:val="auto"/>
              <w:rPr>
                <w:rFonts w:hint="eastAsia" w:ascii="Times New Roman" w:hAnsi="Times New Roman" w:eastAsia="宋体" w:cs="Times New Roman"/>
                <w:snapToGrid w:val="0"/>
                <w:kern w:val="2"/>
                <w:sz w:val="21"/>
                <w:szCs w:val="24"/>
                <w:lang w:val="en-US" w:eastAsia="zh-CN" w:bidi="ar-SA"/>
              </w:rPr>
            </w:pPr>
            <w:r>
              <w:rPr>
                <w:rFonts w:hint="eastAsia" w:ascii="Times New Roman" w:hAnsi="Times New Roman" w:eastAsia="宋体" w:cs="Times New Roman"/>
                <w:snapToGrid w:val="0"/>
                <w:kern w:val="2"/>
                <w:sz w:val="21"/>
                <w:szCs w:val="24"/>
                <w:lang w:val="en-US" w:eastAsia="zh-CN" w:bidi="ar-SA"/>
              </w:rPr>
              <w:t>（一）涉案药品类易制毒化学品质量不符合标准的；</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0" w:firstLineChars="200"/>
              <w:jc w:val="both"/>
              <w:textAlignment w:val="auto"/>
              <w:rPr>
                <w:rFonts w:hint="eastAsia" w:ascii="Times New Roman" w:hAnsi="Times New Roman" w:eastAsia="宋体" w:cs="Times New Roman"/>
                <w:snapToGrid w:val="0"/>
                <w:kern w:val="2"/>
                <w:sz w:val="21"/>
                <w:szCs w:val="24"/>
                <w:lang w:val="en-US" w:eastAsia="zh-CN" w:bidi="ar-SA"/>
              </w:rPr>
            </w:pPr>
            <w:r>
              <w:rPr>
                <w:rFonts w:hint="eastAsia" w:ascii="Times New Roman" w:hAnsi="Times New Roman" w:eastAsia="宋体" w:cs="Times New Roman"/>
                <w:snapToGrid w:val="0"/>
                <w:kern w:val="2"/>
                <w:sz w:val="21"/>
                <w:szCs w:val="24"/>
                <w:lang w:val="en-US" w:eastAsia="zh-CN" w:bidi="ar-SA"/>
              </w:rPr>
              <w:t>（二）造成易制毒化学品流弊的；</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0" w:firstLineChars="200"/>
              <w:jc w:val="both"/>
              <w:textAlignment w:val="auto"/>
              <w:rPr>
                <w:rFonts w:hint="eastAsia" w:ascii="Times New Roman" w:hAnsi="Times New Roman" w:eastAsia="宋体" w:cs="Times New Roman"/>
                <w:snapToGrid w:val="0"/>
                <w:kern w:val="2"/>
                <w:sz w:val="21"/>
                <w:szCs w:val="24"/>
                <w:lang w:val="en-US" w:eastAsia="zh-CN" w:bidi="ar-SA"/>
              </w:rPr>
            </w:pPr>
            <w:r>
              <w:rPr>
                <w:rFonts w:hint="eastAsia" w:ascii="Times New Roman" w:hAnsi="Times New Roman" w:eastAsia="宋体" w:cs="Times New Roman"/>
                <w:snapToGrid w:val="0"/>
                <w:kern w:val="2"/>
                <w:sz w:val="21"/>
                <w:szCs w:val="24"/>
                <w:lang w:val="en-US" w:eastAsia="zh-CN" w:bidi="ar-SA"/>
              </w:rPr>
              <w:t>（三）有《易制毒化学品管理条例》第四十条所列3项以上情形的。</w:t>
            </w:r>
          </w:p>
        </w:tc>
      </w:tr>
    </w:tbl>
    <w:p>
      <w:pPr>
        <w:autoSpaceDE/>
        <w:autoSpaceDN/>
        <w:snapToGrid w:val="0"/>
        <w:spacing w:line="400" w:lineRule="exact"/>
        <w:jc w:val="both"/>
        <w:rPr>
          <w:rFonts w:ascii="Times New Roman" w:hAnsi="Times New Roman" w:cs="Times New Roman"/>
          <w:snapToGrid w:val="0"/>
          <w:kern w:val="2"/>
          <w:sz w:val="2"/>
          <w:szCs w:val="2"/>
          <w:lang w:val="en-US" w:bidi="ar-SA"/>
        </w:rPr>
        <w:sectPr>
          <w:pgSz w:w="16838" w:h="11906" w:orient="landscape"/>
          <w:pgMar w:top="1800" w:right="1440" w:bottom="1800" w:left="1440" w:header="851" w:footer="992" w:gutter="0"/>
          <w:pgNumType w:fmt="decimal"/>
          <w:cols w:space="720" w:num="1"/>
          <w:docGrid w:type="lines" w:linePitch="312" w:charSpace="0"/>
        </w:sectPr>
      </w:pPr>
    </w:p>
    <w:tbl>
      <w:tblPr>
        <w:tblStyle w:val="8"/>
        <w:tblpPr w:leftFromText="180" w:rightFromText="180" w:vertAnchor="page" w:horzAnchor="page" w:tblpX="1568" w:tblpY="2292"/>
        <w:tblOverlap w:val="never"/>
        <w:tblW w:w="140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9"/>
        <w:gridCol w:w="1631"/>
        <w:gridCol w:w="2756"/>
        <w:gridCol w:w="3094"/>
        <w:gridCol w:w="2853"/>
        <w:gridCol w:w="3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19" w:type="dxa"/>
            <w:vMerge w:val="restart"/>
            <w:tcBorders>
              <w:top w:val="single" w:color="auto" w:sz="4" w:space="0"/>
              <w:bottom w:val="nil"/>
              <w:right w:val="single" w:color="000000" w:sz="8" w:space="0"/>
            </w:tcBorders>
            <w:noWrap w:val="0"/>
            <w:vAlign w:val="center"/>
          </w:tcPr>
          <w:p>
            <w:pPr>
              <w:widowControl w:val="0"/>
              <w:snapToGrid w:val="0"/>
              <w:spacing w:line="400" w:lineRule="exact"/>
              <w:jc w:val="center"/>
              <w:rPr>
                <w:rFonts w:hint="default" w:ascii="Times New Roman" w:hAnsi="Times New Roman" w:eastAsia="宋体" w:cs="Times New Roman"/>
                <w:b/>
                <w:snapToGrid w:val="0"/>
                <w:kern w:val="2"/>
                <w:sz w:val="21"/>
                <w:szCs w:val="24"/>
                <w:lang w:val="en-US" w:eastAsia="zh-CN" w:bidi="ar-SA"/>
              </w:rPr>
            </w:pPr>
            <w:r>
              <w:rPr>
                <w:rFonts w:hint="eastAsia" w:ascii="Times New Roman" w:hAnsi="Times New Roman" w:cs="Times New Roman"/>
                <w:b/>
                <w:snapToGrid w:val="0"/>
                <w:w w:val="98"/>
                <w:kern w:val="2"/>
                <w:sz w:val="21"/>
                <w:szCs w:val="24"/>
                <w:lang w:val="en-US" w:eastAsia="zh-CN" w:bidi="ar-SA"/>
              </w:rPr>
              <w:t>14</w:t>
            </w:r>
          </w:p>
        </w:tc>
        <w:tc>
          <w:tcPr>
            <w:tcW w:w="1631" w:type="dxa"/>
            <w:noWrap w:val="0"/>
            <w:vAlign w:val="center"/>
          </w:tcPr>
          <w:p>
            <w:pPr>
              <w:widowControl w:val="0"/>
              <w:snapToGrid w:val="0"/>
              <w:spacing w:line="400" w:lineRule="exact"/>
              <w:jc w:val="center"/>
              <w:rPr>
                <w:rFonts w:hint="eastAsia" w:ascii="Times New Roman" w:hAnsi="Times New Roman" w:eastAsia="宋体" w:cs="Times New Roman"/>
                <w:b/>
                <w:snapToGrid w:val="0"/>
                <w:kern w:val="2"/>
                <w:sz w:val="21"/>
                <w:szCs w:val="24"/>
                <w:lang w:val="en-US" w:eastAsia="zh-CN" w:bidi="ar-SA"/>
              </w:rPr>
            </w:pPr>
            <w:r>
              <w:rPr>
                <w:rFonts w:hint="eastAsia" w:ascii="Times New Roman" w:hAnsi="Times New Roman" w:eastAsia="宋体" w:cs="Times New Roman"/>
                <w:b/>
                <w:snapToGrid w:val="0"/>
                <w:kern w:val="2"/>
                <w:sz w:val="21"/>
                <w:szCs w:val="24"/>
                <w:lang w:val="en-US" w:eastAsia="zh-CN" w:bidi="ar-SA"/>
              </w:rPr>
              <w:t>裁量条款</w:t>
            </w:r>
          </w:p>
        </w:tc>
        <w:tc>
          <w:tcPr>
            <w:tcW w:w="11813" w:type="dxa"/>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ascii="Times New Roman" w:hAnsi="Times New Roman" w:eastAsia="宋体" w:cs="Times New Roman"/>
                <w:b/>
                <w:snapToGrid w:val="0"/>
                <w:kern w:val="2"/>
                <w:sz w:val="21"/>
                <w:szCs w:val="24"/>
                <w:lang w:val="en-US" w:eastAsia="zh-CN" w:bidi="ar-SA"/>
              </w:rPr>
            </w:pPr>
            <w:r>
              <w:rPr>
                <w:rFonts w:hint="eastAsia" w:ascii="Microsoft JhengHei"/>
                <w:b/>
                <w:sz w:val="21"/>
                <w:lang w:val="en-US" w:eastAsia="zh-CN"/>
              </w:rPr>
              <w:t>第十四条  本条是对《易制毒化学品管理条例》第四十二条“对单位处1万元以上5万元以下的罚款”裁量基准的规定。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19"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631" w:type="dxa"/>
            <w:noWrap w:val="0"/>
            <w:vAlign w:val="center"/>
          </w:tcPr>
          <w:p>
            <w:pPr>
              <w:widowControl w:val="0"/>
              <w:snapToGrid w:val="0"/>
              <w:spacing w:line="400" w:lineRule="exact"/>
              <w:jc w:val="center"/>
              <w:rPr>
                <w:rFonts w:hint="eastAsia" w:ascii="Times New Roman" w:hAnsi="Times New Roman" w:eastAsia="宋体" w:cs="Times New Roman"/>
                <w:b/>
                <w:snapToGrid w:val="0"/>
                <w:kern w:val="2"/>
                <w:sz w:val="21"/>
                <w:szCs w:val="24"/>
                <w:lang w:val="en-US" w:eastAsia="zh-CN" w:bidi="ar-SA"/>
              </w:rPr>
            </w:pPr>
            <w:r>
              <w:rPr>
                <w:rFonts w:hint="eastAsia" w:ascii="Times New Roman" w:hAnsi="Times New Roman" w:eastAsia="宋体" w:cs="Times New Roman"/>
                <w:b/>
                <w:snapToGrid w:val="0"/>
                <w:kern w:val="2"/>
                <w:sz w:val="21"/>
                <w:szCs w:val="24"/>
                <w:lang w:val="en-US" w:eastAsia="zh-CN" w:bidi="ar-SA"/>
              </w:rPr>
              <w:t>关联法条</w:t>
            </w:r>
          </w:p>
        </w:tc>
        <w:tc>
          <w:tcPr>
            <w:tcW w:w="11813" w:type="dxa"/>
            <w:gridSpan w:val="4"/>
            <w:tcBorders>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ascii="Times New Roman" w:hAnsi="Times New Roman" w:eastAsia="宋体" w:cs="Times New Roman"/>
                <w:snapToGrid w:val="0"/>
                <w:kern w:val="2"/>
                <w:sz w:val="21"/>
                <w:szCs w:val="24"/>
                <w:lang w:val="en-US" w:eastAsia="zh-CN" w:bidi="ar-SA"/>
              </w:rPr>
            </w:pPr>
            <w:r>
              <w:rPr>
                <w:rFonts w:hint="eastAsia"/>
                <w:sz w:val="21"/>
                <w:lang w:val="en-US" w:eastAsia="zh-CN"/>
              </w:rPr>
              <w:t>《易制毒化学品管理条例》第四十二条　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619"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631" w:type="dxa"/>
            <w:tcBorders>
              <w:top w:val="single" w:color="000000" w:sz="8" w:space="0"/>
              <w:left w:val="single" w:color="000000" w:sz="8" w:space="0"/>
              <w:bottom w:val="single" w:color="000000" w:sz="8" w:space="0"/>
              <w:right w:val="single" w:color="000000" w:sz="8" w:space="0"/>
            </w:tcBorders>
            <w:noWrap w:val="0"/>
            <w:vAlign w:val="center"/>
          </w:tcPr>
          <w:p>
            <w:pPr>
              <w:widowControl w:val="0"/>
              <w:snapToGrid w:val="0"/>
              <w:spacing w:line="400" w:lineRule="exact"/>
              <w:jc w:val="center"/>
              <w:rPr>
                <w:rFonts w:ascii="Times New Roman" w:hAnsi="Times New Roman" w:eastAsia="Microsoft JhengHei" w:cs="Times New Roman"/>
                <w:b/>
                <w:snapToGrid w:val="0"/>
                <w:kern w:val="2"/>
                <w:sz w:val="21"/>
                <w:szCs w:val="24"/>
                <w:lang w:val="en-US" w:eastAsia="zh-CN" w:bidi="ar-SA"/>
              </w:rPr>
            </w:pPr>
            <w:r>
              <w:rPr>
                <w:rFonts w:hint="eastAsia" w:ascii="Times New Roman" w:hAnsi="Times New Roman" w:eastAsia="Microsoft JhengHei" w:cs="Times New Roman"/>
                <w:b/>
                <w:snapToGrid w:val="0"/>
                <w:kern w:val="2"/>
                <w:sz w:val="21"/>
                <w:szCs w:val="24"/>
                <w:lang w:val="en-US" w:eastAsia="zh-CN" w:bidi="ar-SA"/>
              </w:rPr>
              <w:t>裁量等级</w:t>
            </w:r>
          </w:p>
        </w:tc>
        <w:tc>
          <w:tcPr>
            <w:tcW w:w="2756"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减轻处罚幅度</w:t>
            </w:r>
          </w:p>
        </w:tc>
        <w:tc>
          <w:tcPr>
            <w:tcW w:w="3094"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从轻处罚幅度</w:t>
            </w:r>
          </w:p>
        </w:tc>
        <w:tc>
          <w:tcPr>
            <w:tcW w:w="2853"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一般处罚幅度</w:t>
            </w:r>
          </w:p>
        </w:tc>
        <w:tc>
          <w:tcPr>
            <w:tcW w:w="3110"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619"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631" w:type="dxa"/>
            <w:tcBorders>
              <w:top w:val="single" w:color="000000" w:sz="8" w:space="0"/>
              <w:left w:val="single" w:color="000000" w:sz="8" w:space="0"/>
              <w:bottom w:val="single" w:color="000000" w:sz="8" w:space="0"/>
              <w:right w:val="single" w:color="000000" w:sz="8" w:space="0"/>
            </w:tcBorders>
            <w:noWrap w:val="0"/>
            <w:vAlign w:val="center"/>
          </w:tcPr>
          <w:p>
            <w:pPr>
              <w:widowControl w:val="0"/>
              <w:snapToGrid w:val="0"/>
              <w:spacing w:line="400" w:lineRule="exact"/>
              <w:jc w:val="center"/>
              <w:rPr>
                <w:rFonts w:ascii="Times New Roman" w:hAnsi="Times New Roman" w:eastAsia="Microsoft JhengHei" w:cs="Times New Roman"/>
                <w:b/>
                <w:snapToGrid w:val="0"/>
                <w:color w:val="000000"/>
                <w:kern w:val="2"/>
                <w:sz w:val="21"/>
                <w:szCs w:val="24"/>
                <w:lang w:val="en-US" w:eastAsia="zh-CN" w:bidi="ar-SA"/>
              </w:rPr>
            </w:pPr>
            <w:r>
              <w:rPr>
                <w:rFonts w:hint="eastAsia" w:ascii="Times New Roman" w:hAnsi="Times New Roman" w:eastAsia="Microsoft JhengHei" w:cs="Times New Roman"/>
                <w:b/>
                <w:snapToGrid w:val="0"/>
                <w:color w:val="000000"/>
                <w:kern w:val="2"/>
                <w:sz w:val="21"/>
                <w:szCs w:val="24"/>
                <w:lang w:val="en-US" w:eastAsia="zh-CN" w:bidi="ar-SA"/>
              </w:rPr>
              <w:t>裁量基准</w:t>
            </w:r>
          </w:p>
        </w:tc>
        <w:tc>
          <w:tcPr>
            <w:tcW w:w="2756"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p>
        </w:tc>
        <w:tc>
          <w:tcPr>
            <w:tcW w:w="3094"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从轻行政处罚，处1万元至2.2万元的罚款。</w:t>
            </w:r>
          </w:p>
        </w:tc>
        <w:tc>
          <w:tcPr>
            <w:tcW w:w="2853"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r>
              <w:rPr>
                <w:rFonts w:hint="eastAsia"/>
                <w:sz w:val="21"/>
                <w:lang w:val="en-US" w:eastAsia="zh-CN"/>
              </w:rPr>
              <w:t>一般行政处罚，处2.2万元以上3.8万元以下的罚款。</w:t>
            </w:r>
          </w:p>
        </w:tc>
        <w:tc>
          <w:tcPr>
            <w:tcW w:w="3110"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从重行政处罚，处3.8万元至5万元的罚款。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5" w:hRule="atLeast"/>
        </w:trPr>
        <w:tc>
          <w:tcPr>
            <w:tcW w:w="619" w:type="dxa"/>
            <w:vMerge w:val="continue"/>
            <w:tcBorders>
              <w:right w:val="single" w:color="000000" w:sz="8" w:space="0"/>
            </w:tcBorders>
            <w:noWrap w:val="0"/>
            <w:vAlign w:val="center"/>
          </w:tcPr>
          <w:p>
            <w:pPr>
              <w:autoSpaceDE/>
              <w:autoSpaceDN/>
              <w:snapToGrid w:val="0"/>
              <w:spacing w:line="400" w:lineRule="exact"/>
              <w:jc w:val="both"/>
              <w:rPr>
                <w:rFonts w:ascii="Times New Roman" w:hAnsi="Times New Roman" w:cs="Times New Roman"/>
                <w:snapToGrid w:val="0"/>
                <w:kern w:val="2"/>
                <w:sz w:val="2"/>
                <w:szCs w:val="2"/>
                <w:lang w:val="en-US" w:bidi="ar-SA"/>
              </w:rPr>
            </w:pPr>
          </w:p>
        </w:tc>
        <w:tc>
          <w:tcPr>
            <w:tcW w:w="1631" w:type="dxa"/>
            <w:tcBorders>
              <w:top w:val="single" w:color="000000" w:sz="8" w:space="0"/>
              <w:left w:val="single" w:color="000000" w:sz="8" w:space="0"/>
              <w:bottom w:val="single" w:color="000000" w:sz="8"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both"/>
              <w:textAlignment w:val="auto"/>
              <w:rPr>
                <w:rFonts w:hint="eastAsia" w:ascii="Times New Roman" w:hAnsi="Times New Roman" w:eastAsia="Microsoft JhengHei" w:cs="Times New Roman"/>
                <w:bCs/>
                <w:snapToGrid w:val="0"/>
                <w:kern w:val="2"/>
                <w:sz w:val="21"/>
                <w:szCs w:val="24"/>
                <w:lang w:val="en-US" w:eastAsia="zh-CN" w:bidi="ar-SA"/>
              </w:rPr>
            </w:pPr>
            <w:r>
              <w:rPr>
                <w:rFonts w:hint="eastAsia" w:ascii="Times New Roman" w:hAnsi="Times New Roman" w:eastAsia="Microsoft JhengHei" w:cs="Times New Roman"/>
                <w:b/>
                <w:snapToGrid w:val="0"/>
                <w:kern w:val="2"/>
                <w:sz w:val="21"/>
                <w:szCs w:val="24"/>
                <w:lang w:val="en-US" w:eastAsia="zh-CN" w:bidi="ar-SA"/>
              </w:rPr>
              <w:t>裁量因素</w:t>
            </w:r>
            <w:r>
              <w:rPr>
                <w:rFonts w:hint="eastAsia" w:ascii="Times New Roman" w:hAnsi="Times New Roman" w:eastAsia="Microsoft JhengHei" w:cs="Times New Roman"/>
                <w:bCs/>
                <w:snapToGrid w:val="0"/>
                <w:kern w:val="2"/>
                <w:sz w:val="21"/>
                <w:szCs w:val="24"/>
                <w:lang w:val="en-US" w:eastAsia="zh-CN" w:bidi="ar-SA"/>
              </w:rPr>
              <w:t>（是指在进行裁量时，除裁量规则规定的从轻、减轻、从重情形外，可以考虑的因素）</w:t>
            </w:r>
          </w:p>
        </w:tc>
        <w:tc>
          <w:tcPr>
            <w:tcW w:w="11813" w:type="dxa"/>
            <w:gridSpan w:val="4"/>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390" w:lineRule="atLeast"/>
              <w:ind w:firstLine="0"/>
              <w:jc w:val="both"/>
              <w:textAlignment w:val="center"/>
              <w:rPr>
                <w:rFonts w:hint="eastAsia" w:ascii="宋体" w:hAnsi="宋体" w:eastAsia="宋体" w:cs="宋体"/>
                <w:b/>
                <w:snapToGrid w:val="0"/>
                <w:kern w:val="2"/>
                <w:sz w:val="21"/>
                <w:szCs w:val="24"/>
                <w:lang w:val="en-US" w:eastAsia="zh-CN" w:bidi="ar-SA"/>
              </w:rPr>
            </w:pPr>
            <w:r>
              <w:rPr>
                <w:rFonts w:hint="eastAsia" w:ascii="宋体" w:hAnsi="宋体" w:eastAsia="宋体" w:cs="宋体"/>
                <w:b/>
                <w:snapToGrid w:val="0"/>
                <w:kern w:val="2"/>
                <w:sz w:val="21"/>
                <w:szCs w:val="24"/>
                <w:lang w:val="en-US" w:eastAsia="zh-CN" w:bidi="ar-SA"/>
              </w:rPr>
              <w:t>从轻处罚考虑因素：</w:t>
            </w:r>
          </w:p>
          <w:p>
            <w:pPr>
              <w:widowControl w:val="0"/>
              <w:pBdr>
                <w:top w:val="none" w:color="auto" w:sz="0" w:space="0"/>
                <w:left w:val="none" w:color="auto" w:sz="0" w:space="0"/>
                <w:bottom w:val="none" w:color="auto" w:sz="0" w:space="0"/>
                <w:right w:val="none" w:color="auto" w:sz="0" w:space="0"/>
              </w:pBdr>
              <w:spacing w:before="0" w:after="0" w:line="390" w:lineRule="atLeast"/>
              <w:ind w:left="0" w:right="0" w:firstLine="420"/>
              <w:jc w:val="both"/>
              <w:textAlignment w:val="center"/>
              <w:rPr>
                <w:rFonts w:ascii="宋体" w:hAnsi="宋体" w:eastAsia="宋体" w:cs="宋体"/>
                <w:snapToGrid w:val="0"/>
                <w:kern w:val="2"/>
                <w:sz w:val="21"/>
                <w:szCs w:val="21"/>
                <w:lang w:val="zh-CN" w:eastAsia="zh-CN" w:bidi="ar-SA"/>
              </w:rPr>
            </w:pPr>
            <w:r>
              <w:rPr>
                <w:rFonts w:ascii="宋体" w:hAnsi="宋体" w:eastAsia="宋体" w:cs="宋体"/>
                <w:snapToGrid w:val="0"/>
                <w:kern w:val="2"/>
                <w:sz w:val="21"/>
                <w:szCs w:val="21"/>
                <w:lang w:val="zh-CN" w:eastAsia="zh-CN" w:bidi="ar-SA"/>
              </w:rPr>
              <w:t>（一）经营或者购买药品类易制毒化学品，货值金额在5万元以上10万元以下的；</w:t>
            </w:r>
          </w:p>
          <w:p>
            <w:pPr>
              <w:widowControl w:val="0"/>
              <w:pBdr>
                <w:top w:val="none" w:color="auto" w:sz="0" w:space="0"/>
                <w:left w:val="none" w:color="auto" w:sz="0" w:space="0"/>
                <w:bottom w:val="none" w:color="auto" w:sz="0" w:space="0"/>
                <w:right w:val="none" w:color="auto" w:sz="0" w:space="0"/>
              </w:pBdr>
              <w:spacing w:line="390" w:lineRule="atLeast"/>
              <w:ind w:firstLine="420"/>
              <w:jc w:val="both"/>
              <w:textAlignment w:val="center"/>
              <w:rPr>
                <w:rFonts w:hint="eastAsia" w:ascii="Times New Roman" w:hAnsi="Times New Roman" w:eastAsia="宋体" w:cs="Times New Roman"/>
                <w:snapToGrid w:val="0"/>
                <w:kern w:val="2"/>
                <w:sz w:val="21"/>
                <w:szCs w:val="24"/>
                <w:lang w:val="en-US" w:eastAsia="zh-CN" w:bidi="ar-SA"/>
              </w:rPr>
            </w:pPr>
            <w:bookmarkStart w:id="3" w:name="No2024_T130K3X2"/>
            <w:bookmarkEnd w:id="3"/>
            <w:r>
              <w:rPr>
                <w:rFonts w:ascii="宋体" w:hAnsi="宋体" w:eastAsia="宋体" w:cs="宋体"/>
                <w:snapToGrid w:val="0"/>
                <w:kern w:val="2"/>
                <w:sz w:val="21"/>
                <w:szCs w:val="21"/>
                <w:lang w:val="zh-CN" w:eastAsia="zh-CN" w:bidi="ar-SA"/>
              </w:rPr>
              <w:t>（二）生产、运输或者进口、出口药品类易制毒化学品的</w:t>
            </w:r>
            <w:r>
              <w:rPr>
                <w:rFonts w:hint="eastAsia" w:ascii="宋体" w:hAnsi="宋体" w:eastAsia="宋体" w:cs="宋体"/>
                <w:snapToGrid w:val="0"/>
                <w:kern w:val="2"/>
                <w:sz w:val="21"/>
                <w:szCs w:val="21"/>
                <w:lang w:val="zh-CN" w:eastAsia="zh-CN" w:bidi="ar-SA"/>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line="390" w:lineRule="atLeast"/>
              <w:ind w:firstLine="0"/>
              <w:jc w:val="both"/>
              <w:textAlignment w:val="center"/>
              <w:rPr>
                <w:rFonts w:hint="eastAsia" w:ascii="宋体" w:hAnsi="宋体" w:eastAsia="宋体" w:cs="宋体"/>
                <w:b/>
                <w:snapToGrid w:val="0"/>
                <w:kern w:val="2"/>
                <w:sz w:val="21"/>
                <w:szCs w:val="24"/>
                <w:lang w:val="en-US" w:eastAsia="zh-CN" w:bidi="ar-SA"/>
              </w:rPr>
            </w:pPr>
            <w:r>
              <w:rPr>
                <w:rFonts w:hint="eastAsia" w:ascii="宋体" w:hAnsi="宋体" w:eastAsia="宋体" w:cs="宋体"/>
                <w:b/>
                <w:snapToGrid w:val="0"/>
                <w:kern w:val="2"/>
                <w:sz w:val="21"/>
                <w:szCs w:val="24"/>
                <w:lang w:val="en-US" w:eastAsia="zh-CN" w:bidi="ar-SA"/>
              </w:rPr>
              <w:t>从重处罚考虑因素：</w:t>
            </w:r>
          </w:p>
          <w:p>
            <w:pPr>
              <w:widowControl w:val="0"/>
              <w:pBdr>
                <w:top w:val="none" w:color="auto" w:sz="0" w:space="0"/>
                <w:left w:val="none" w:color="auto" w:sz="0" w:space="0"/>
                <w:bottom w:val="none" w:color="auto" w:sz="0" w:space="0"/>
                <w:right w:val="none" w:color="auto" w:sz="0" w:space="0"/>
              </w:pBdr>
              <w:spacing w:before="0" w:after="0" w:line="390" w:lineRule="atLeast"/>
              <w:ind w:left="0" w:right="0" w:firstLine="420"/>
              <w:jc w:val="both"/>
              <w:textAlignment w:val="center"/>
              <w:rPr>
                <w:rFonts w:ascii="宋体" w:hAnsi="宋体" w:eastAsia="宋体" w:cs="宋体"/>
                <w:snapToGrid w:val="0"/>
                <w:kern w:val="2"/>
                <w:sz w:val="21"/>
                <w:szCs w:val="21"/>
                <w:lang w:val="zh-CN" w:eastAsia="zh-CN" w:bidi="ar-SA"/>
              </w:rPr>
            </w:pPr>
            <w:r>
              <w:rPr>
                <w:rFonts w:ascii="宋体" w:hAnsi="宋体" w:eastAsia="宋体" w:cs="宋体"/>
                <w:snapToGrid w:val="0"/>
                <w:kern w:val="2"/>
                <w:sz w:val="21"/>
                <w:szCs w:val="21"/>
                <w:lang w:val="zh-CN" w:eastAsia="zh-CN" w:bidi="ar-SA"/>
              </w:rPr>
              <w:t>（一）经营或者购买药品类易制毒化学品，货值金额在10万元以上的；</w:t>
            </w:r>
          </w:p>
          <w:p>
            <w:pPr>
              <w:widowControl w:val="0"/>
              <w:pBdr>
                <w:top w:val="none" w:color="auto" w:sz="0" w:space="0"/>
                <w:left w:val="none" w:color="auto" w:sz="0" w:space="0"/>
                <w:bottom w:val="none" w:color="auto" w:sz="0" w:space="0"/>
                <w:right w:val="none" w:color="auto" w:sz="0" w:space="0"/>
              </w:pBdr>
              <w:spacing w:before="0" w:after="0" w:line="390" w:lineRule="atLeast"/>
              <w:ind w:left="0" w:right="0" w:firstLine="420"/>
              <w:jc w:val="both"/>
              <w:textAlignment w:val="center"/>
              <w:rPr>
                <w:rFonts w:ascii="宋体" w:hAnsi="宋体" w:eastAsia="宋体" w:cs="宋体"/>
                <w:snapToGrid w:val="0"/>
                <w:kern w:val="2"/>
                <w:sz w:val="21"/>
                <w:szCs w:val="21"/>
                <w:lang w:val="zh-CN" w:eastAsia="zh-CN" w:bidi="ar-SA"/>
              </w:rPr>
            </w:pPr>
            <w:bookmarkStart w:id="4" w:name="No2028_T130K4X2"/>
            <w:bookmarkEnd w:id="4"/>
            <w:r>
              <w:rPr>
                <w:rFonts w:ascii="宋体" w:hAnsi="宋体" w:eastAsia="宋体" w:cs="宋体"/>
                <w:snapToGrid w:val="0"/>
                <w:kern w:val="2"/>
                <w:sz w:val="21"/>
                <w:szCs w:val="21"/>
                <w:lang w:val="zh-CN" w:eastAsia="zh-CN" w:bidi="ar-SA"/>
              </w:rPr>
              <w:t>（二）造成药品类易制毒化学品流弊的；</w:t>
            </w:r>
          </w:p>
          <w:p>
            <w:pPr>
              <w:widowControl w:val="0"/>
              <w:pBdr>
                <w:top w:val="none" w:color="auto" w:sz="0" w:space="0"/>
                <w:left w:val="none" w:color="auto" w:sz="0" w:space="0"/>
                <w:bottom w:val="none" w:color="auto" w:sz="0" w:space="0"/>
                <w:right w:val="none" w:color="auto" w:sz="0" w:space="0"/>
              </w:pBdr>
              <w:spacing w:line="390" w:lineRule="atLeast"/>
              <w:ind w:firstLine="420"/>
              <w:jc w:val="both"/>
              <w:textAlignment w:val="center"/>
              <w:rPr>
                <w:rFonts w:hint="eastAsia" w:ascii="Times New Roman" w:hAnsi="Times New Roman" w:eastAsia="宋体" w:cs="Times New Roman"/>
                <w:snapToGrid w:val="0"/>
                <w:kern w:val="2"/>
                <w:sz w:val="21"/>
                <w:szCs w:val="24"/>
                <w:lang w:val="en-US" w:eastAsia="zh-CN" w:bidi="ar-SA"/>
              </w:rPr>
            </w:pPr>
            <w:bookmarkStart w:id="5" w:name="No2029_T130K4X3"/>
            <w:bookmarkEnd w:id="5"/>
            <w:r>
              <w:rPr>
                <w:rFonts w:ascii="宋体" w:hAnsi="宋体" w:eastAsia="宋体" w:cs="宋体"/>
                <w:snapToGrid w:val="0"/>
                <w:kern w:val="2"/>
                <w:sz w:val="21"/>
                <w:szCs w:val="21"/>
                <w:lang w:val="zh-CN" w:eastAsia="zh-CN" w:bidi="ar-SA"/>
              </w:rPr>
              <w:t>（三）损坏执法装备，或者造成执法人员人身伤害的</w:t>
            </w:r>
            <w:r>
              <w:rPr>
                <w:rFonts w:hint="eastAsia" w:ascii="宋体" w:hAnsi="宋体" w:eastAsia="宋体" w:cs="宋体"/>
                <w:snapToGrid w:val="0"/>
                <w:kern w:val="2"/>
                <w:sz w:val="21"/>
                <w:szCs w:val="21"/>
                <w:lang w:val="zh-CN" w:eastAsia="zh-CN" w:bidi="ar-SA"/>
              </w:rPr>
              <w:t>。</w:t>
            </w:r>
          </w:p>
        </w:tc>
      </w:tr>
    </w:tbl>
    <w:p>
      <w:pPr>
        <w:pStyle w:val="11"/>
        <w:keepNext w:val="0"/>
        <w:keepLines w:val="0"/>
        <w:pageBreakBefore w:val="0"/>
        <w:widowControl w:val="0"/>
        <w:kinsoku/>
        <w:wordWrap/>
        <w:overflowPunct/>
        <w:topLinePunct w:val="0"/>
        <w:autoSpaceDE w:val="0"/>
        <w:autoSpaceDN w:val="0"/>
        <w:bidi w:val="0"/>
        <w:adjustRightInd/>
        <w:snapToGrid/>
        <w:spacing w:line="240" w:lineRule="auto"/>
        <w:ind w:right="0" w:firstLine="421" w:firstLineChars="200"/>
        <w:jc w:val="both"/>
        <w:textAlignment w:val="auto"/>
        <w:rPr>
          <w:rFonts w:hint="eastAsia" w:ascii="Microsoft JhengHei"/>
          <w:b/>
          <w:sz w:val="21"/>
          <w:lang w:val="en-US" w:eastAsia="zh-CN"/>
        </w:rPr>
        <w:sectPr>
          <w:pgSz w:w="16838" w:h="11906" w:orient="landscape"/>
          <w:pgMar w:top="1800" w:right="1440" w:bottom="1800" w:left="1440" w:header="851" w:footer="992" w:gutter="0"/>
          <w:pgNumType w:fmt="decimal"/>
          <w:cols w:space="720" w:num="1"/>
          <w:docGrid w:type="lines" w:linePitch="312" w:charSpace="0"/>
        </w:sectPr>
      </w:pPr>
    </w:p>
    <w:tbl>
      <w:tblPr>
        <w:tblStyle w:val="8"/>
        <w:tblpPr w:leftFromText="180" w:rightFromText="180" w:vertAnchor="page" w:horzAnchor="page" w:tblpX="1459" w:tblpY="2616"/>
        <w:tblOverlap w:val="never"/>
        <w:tblW w:w="140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3"/>
        <w:gridCol w:w="1607"/>
        <w:gridCol w:w="2799"/>
        <w:gridCol w:w="3072"/>
        <w:gridCol w:w="2937"/>
        <w:gridCol w:w="3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 w:hRule="atLeast"/>
        </w:trPr>
        <w:tc>
          <w:tcPr>
            <w:tcW w:w="623" w:type="dxa"/>
            <w:vMerge w:val="restart"/>
            <w:tcBorders>
              <w:top w:val="single" w:color="auto" w:sz="4" w:space="0"/>
              <w:bottom w:val="nil"/>
              <w:right w:val="single" w:color="000000" w:sz="8" w:space="0"/>
            </w:tcBorders>
            <w:noWrap w:val="0"/>
            <w:vAlign w:val="center"/>
          </w:tcPr>
          <w:p>
            <w:pPr>
              <w:widowControl w:val="0"/>
              <w:snapToGrid w:val="0"/>
              <w:spacing w:line="400" w:lineRule="exact"/>
              <w:jc w:val="center"/>
              <w:rPr>
                <w:rFonts w:hint="default" w:ascii="Times New Roman" w:hAnsi="Times New Roman" w:eastAsia="宋体" w:cs="Times New Roman"/>
                <w:b/>
                <w:snapToGrid w:val="0"/>
                <w:kern w:val="2"/>
                <w:sz w:val="21"/>
                <w:szCs w:val="24"/>
                <w:lang w:val="en-US" w:eastAsia="zh-CN" w:bidi="ar-SA"/>
              </w:rPr>
            </w:pPr>
            <w:r>
              <w:rPr>
                <w:rFonts w:hint="eastAsia" w:ascii="Times New Roman" w:hAnsi="Times New Roman" w:cs="Times New Roman"/>
                <w:b/>
                <w:snapToGrid w:val="0"/>
                <w:w w:val="98"/>
                <w:kern w:val="2"/>
                <w:sz w:val="21"/>
                <w:szCs w:val="24"/>
                <w:lang w:val="en-US" w:eastAsia="zh-CN" w:bidi="ar-SA"/>
              </w:rPr>
              <w:t>15</w:t>
            </w:r>
          </w:p>
        </w:tc>
        <w:tc>
          <w:tcPr>
            <w:tcW w:w="1607" w:type="dxa"/>
            <w:noWrap w:val="0"/>
            <w:vAlign w:val="center"/>
          </w:tcPr>
          <w:p>
            <w:pPr>
              <w:widowControl w:val="0"/>
              <w:snapToGrid w:val="0"/>
              <w:spacing w:line="400" w:lineRule="exact"/>
              <w:jc w:val="center"/>
              <w:rPr>
                <w:rFonts w:hint="eastAsia" w:ascii="Times New Roman" w:hAnsi="Times New Roman" w:eastAsia="宋体" w:cs="Times New Roman"/>
                <w:b/>
                <w:snapToGrid w:val="0"/>
                <w:kern w:val="2"/>
                <w:sz w:val="21"/>
                <w:szCs w:val="24"/>
                <w:lang w:val="en-US" w:eastAsia="zh-CN" w:bidi="ar-SA"/>
              </w:rPr>
            </w:pPr>
            <w:r>
              <w:rPr>
                <w:rFonts w:hint="eastAsia" w:ascii="Times New Roman" w:hAnsi="Times New Roman" w:eastAsia="宋体" w:cs="Times New Roman"/>
                <w:b/>
                <w:snapToGrid w:val="0"/>
                <w:kern w:val="2"/>
                <w:sz w:val="21"/>
                <w:szCs w:val="24"/>
                <w:lang w:val="en-US" w:eastAsia="zh-CN" w:bidi="ar-SA"/>
              </w:rPr>
              <w:t>裁量条款</w:t>
            </w:r>
          </w:p>
        </w:tc>
        <w:tc>
          <w:tcPr>
            <w:tcW w:w="11861" w:type="dxa"/>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ascii="Times New Roman" w:hAnsi="Times New Roman" w:eastAsia="宋体" w:cs="Times New Roman"/>
                <w:b/>
                <w:snapToGrid w:val="0"/>
                <w:kern w:val="2"/>
                <w:sz w:val="21"/>
                <w:szCs w:val="24"/>
                <w:lang w:val="en-US" w:eastAsia="zh-CN" w:bidi="ar-SA"/>
              </w:rPr>
            </w:pPr>
            <w:r>
              <w:rPr>
                <w:rFonts w:hint="eastAsia" w:ascii="Microsoft JhengHei"/>
                <w:b/>
                <w:sz w:val="21"/>
                <w:lang w:val="en-US" w:eastAsia="zh-CN"/>
              </w:rPr>
              <w:t>第十五条  本条是对《易制毒化学品管理条例》第四十二条“对直接负责的主管人员以及其他直接责任人员处1000元以上5000元以下的罚款”裁量基准的规定。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2" w:hRule="atLeast"/>
        </w:trPr>
        <w:tc>
          <w:tcPr>
            <w:tcW w:w="623"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607" w:type="dxa"/>
            <w:noWrap w:val="0"/>
            <w:vAlign w:val="center"/>
          </w:tcPr>
          <w:p>
            <w:pPr>
              <w:widowControl w:val="0"/>
              <w:snapToGrid w:val="0"/>
              <w:spacing w:line="400" w:lineRule="exact"/>
              <w:jc w:val="center"/>
              <w:rPr>
                <w:rFonts w:hint="eastAsia" w:ascii="Times New Roman" w:hAnsi="Times New Roman" w:eastAsia="宋体" w:cs="Times New Roman"/>
                <w:b/>
                <w:snapToGrid w:val="0"/>
                <w:kern w:val="2"/>
                <w:sz w:val="21"/>
                <w:szCs w:val="24"/>
                <w:lang w:val="en-US" w:eastAsia="zh-CN" w:bidi="ar-SA"/>
              </w:rPr>
            </w:pPr>
            <w:r>
              <w:rPr>
                <w:rFonts w:hint="eastAsia" w:ascii="Times New Roman" w:hAnsi="Times New Roman" w:eastAsia="宋体" w:cs="Times New Roman"/>
                <w:b/>
                <w:snapToGrid w:val="0"/>
                <w:kern w:val="2"/>
                <w:sz w:val="21"/>
                <w:szCs w:val="24"/>
                <w:lang w:val="en-US" w:eastAsia="zh-CN" w:bidi="ar-SA"/>
              </w:rPr>
              <w:t>关联法条</w:t>
            </w:r>
          </w:p>
        </w:tc>
        <w:tc>
          <w:tcPr>
            <w:tcW w:w="11861" w:type="dxa"/>
            <w:gridSpan w:val="4"/>
            <w:tcBorders>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ascii="Times New Roman" w:hAnsi="Times New Roman" w:eastAsia="宋体" w:cs="Times New Roman"/>
                <w:snapToGrid w:val="0"/>
                <w:kern w:val="2"/>
                <w:sz w:val="21"/>
                <w:szCs w:val="24"/>
                <w:lang w:val="en-US" w:eastAsia="zh-CN" w:bidi="ar-SA"/>
              </w:rPr>
            </w:pPr>
            <w:r>
              <w:rPr>
                <w:rFonts w:hint="eastAsia"/>
                <w:sz w:val="21"/>
                <w:lang w:val="en-US" w:eastAsia="zh-CN"/>
              </w:rPr>
              <w:t>《易制毒化学品管理条例》第四十二条　</w:t>
            </w:r>
            <w:r>
              <w:rPr>
                <w:rFonts w:hint="eastAsia"/>
                <w:sz w:val="21"/>
                <w:lang w:val="en-US"/>
              </w:rPr>
              <w:t>（详见本基准第十</w:t>
            </w:r>
            <w:r>
              <w:rPr>
                <w:rFonts w:hint="eastAsia"/>
                <w:sz w:val="21"/>
                <w:lang w:val="en-US" w:eastAsia="zh-CN"/>
              </w:rPr>
              <w:t>四</w:t>
            </w:r>
            <w:r>
              <w:rPr>
                <w:rFonts w:hint="eastAsia"/>
                <w:sz w:val="21"/>
                <w:lang w:val="en-US"/>
              </w:rPr>
              <w:t>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623"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607" w:type="dxa"/>
            <w:tcBorders>
              <w:top w:val="single" w:color="000000" w:sz="8" w:space="0"/>
              <w:left w:val="single" w:color="000000" w:sz="8" w:space="0"/>
              <w:bottom w:val="single" w:color="000000" w:sz="8" w:space="0"/>
              <w:right w:val="single" w:color="000000" w:sz="8" w:space="0"/>
            </w:tcBorders>
            <w:noWrap w:val="0"/>
            <w:vAlign w:val="center"/>
          </w:tcPr>
          <w:p>
            <w:pPr>
              <w:widowControl w:val="0"/>
              <w:snapToGrid w:val="0"/>
              <w:spacing w:line="400" w:lineRule="exact"/>
              <w:jc w:val="center"/>
              <w:rPr>
                <w:rFonts w:ascii="Times New Roman" w:hAnsi="Times New Roman" w:eastAsia="Microsoft JhengHei" w:cs="Times New Roman"/>
                <w:b/>
                <w:snapToGrid w:val="0"/>
                <w:kern w:val="2"/>
                <w:sz w:val="21"/>
                <w:szCs w:val="24"/>
                <w:lang w:val="en-US" w:eastAsia="zh-CN" w:bidi="ar-SA"/>
              </w:rPr>
            </w:pPr>
            <w:r>
              <w:rPr>
                <w:rFonts w:hint="eastAsia" w:ascii="Times New Roman" w:hAnsi="Times New Roman" w:eastAsia="Microsoft JhengHei" w:cs="Times New Roman"/>
                <w:b/>
                <w:snapToGrid w:val="0"/>
                <w:kern w:val="2"/>
                <w:sz w:val="21"/>
                <w:szCs w:val="24"/>
                <w:lang w:val="en-US" w:eastAsia="zh-CN" w:bidi="ar-SA"/>
              </w:rPr>
              <w:t>裁量等级</w:t>
            </w:r>
          </w:p>
        </w:tc>
        <w:tc>
          <w:tcPr>
            <w:tcW w:w="2799"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减轻处罚幅度</w:t>
            </w:r>
          </w:p>
        </w:tc>
        <w:tc>
          <w:tcPr>
            <w:tcW w:w="3072"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从轻处罚幅度</w:t>
            </w:r>
          </w:p>
        </w:tc>
        <w:tc>
          <w:tcPr>
            <w:tcW w:w="2937"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一般处罚幅度</w:t>
            </w:r>
          </w:p>
        </w:tc>
        <w:tc>
          <w:tcPr>
            <w:tcW w:w="3053"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623"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607" w:type="dxa"/>
            <w:tcBorders>
              <w:top w:val="single" w:color="000000" w:sz="8" w:space="0"/>
              <w:left w:val="single" w:color="000000" w:sz="8" w:space="0"/>
              <w:bottom w:val="single" w:color="000000" w:sz="8" w:space="0"/>
              <w:right w:val="single" w:color="000000" w:sz="8" w:space="0"/>
            </w:tcBorders>
            <w:noWrap w:val="0"/>
            <w:vAlign w:val="center"/>
          </w:tcPr>
          <w:p>
            <w:pPr>
              <w:widowControl w:val="0"/>
              <w:snapToGrid w:val="0"/>
              <w:spacing w:line="400" w:lineRule="exact"/>
              <w:jc w:val="center"/>
              <w:rPr>
                <w:rFonts w:ascii="Times New Roman" w:hAnsi="Times New Roman" w:eastAsia="Microsoft JhengHei" w:cs="Times New Roman"/>
                <w:b/>
                <w:snapToGrid w:val="0"/>
                <w:color w:val="000000"/>
                <w:kern w:val="2"/>
                <w:sz w:val="21"/>
                <w:szCs w:val="24"/>
                <w:lang w:val="en-US" w:eastAsia="zh-CN" w:bidi="ar-SA"/>
              </w:rPr>
            </w:pPr>
            <w:r>
              <w:rPr>
                <w:rFonts w:hint="eastAsia" w:ascii="Times New Roman" w:hAnsi="Times New Roman" w:eastAsia="Microsoft JhengHei" w:cs="Times New Roman"/>
                <w:b/>
                <w:snapToGrid w:val="0"/>
                <w:color w:val="000000"/>
                <w:kern w:val="2"/>
                <w:sz w:val="21"/>
                <w:szCs w:val="24"/>
                <w:lang w:val="en-US" w:eastAsia="zh-CN" w:bidi="ar-SA"/>
              </w:rPr>
              <w:t>裁量基准</w:t>
            </w:r>
          </w:p>
        </w:tc>
        <w:tc>
          <w:tcPr>
            <w:tcW w:w="2799"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p>
        </w:tc>
        <w:tc>
          <w:tcPr>
            <w:tcW w:w="3072"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从轻行政处罚，处1000元至2200元的罚款。</w:t>
            </w:r>
          </w:p>
        </w:tc>
        <w:tc>
          <w:tcPr>
            <w:tcW w:w="2937"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r>
              <w:rPr>
                <w:rFonts w:hint="eastAsia"/>
                <w:sz w:val="21"/>
                <w:lang w:val="en-US" w:eastAsia="zh-CN"/>
              </w:rPr>
              <w:t>一般行政处罚，处2200元以上3800元以下的罚款。</w:t>
            </w:r>
          </w:p>
        </w:tc>
        <w:tc>
          <w:tcPr>
            <w:tcW w:w="3053"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从重行政处罚，处3800元至5000元的罚款。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5" w:hRule="atLeast"/>
        </w:trPr>
        <w:tc>
          <w:tcPr>
            <w:tcW w:w="623" w:type="dxa"/>
            <w:vMerge w:val="continue"/>
            <w:tcBorders>
              <w:right w:val="single" w:color="000000" w:sz="8" w:space="0"/>
            </w:tcBorders>
            <w:noWrap w:val="0"/>
            <w:vAlign w:val="center"/>
          </w:tcPr>
          <w:p>
            <w:pPr>
              <w:autoSpaceDE/>
              <w:autoSpaceDN/>
              <w:snapToGrid w:val="0"/>
              <w:spacing w:line="400" w:lineRule="exact"/>
              <w:jc w:val="both"/>
              <w:rPr>
                <w:rFonts w:ascii="Times New Roman" w:hAnsi="Times New Roman" w:cs="Times New Roman"/>
                <w:snapToGrid w:val="0"/>
                <w:kern w:val="2"/>
                <w:sz w:val="2"/>
                <w:szCs w:val="2"/>
                <w:lang w:val="en-US" w:bidi="ar-SA"/>
              </w:rPr>
            </w:pPr>
          </w:p>
        </w:tc>
        <w:tc>
          <w:tcPr>
            <w:tcW w:w="1607" w:type="dxa"/>
            <w:tcBorders>
              <w:top w:val="single" w:color="000000" w:sz="8" w:space="0"/>
              <w:left w:val="single" w:color="000000" w:sz="8"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80" w:lineRule="exact"/>
              <w:jc w:val="both"/>
              <w:textAlignment w:val="auto"/>
              <w:rPr>
                <w:rFonts w:hint="eastAsia" w:ascii="Times New Roman" w:hAnsi="Times New Roman" w:eastAsia="宋体" w:cs="Times New Roman"/>
                <w:snapToGrid w:val="0"/>
                <w:kern w:val="2"/>
                <w:sz w:val="21"/>
                <w:szCs w:val="24"/>
                <w:lang w:val="en-US" w:eastAsia="zh-CN" w:bidi="ar-SA"/>
              </w:rPr>
            </w:pPr>
            <w:r>
              <w:rPr>
                <w:rFonts w:hint="eastAsia" w:ascii="Times New Roman" w:hAnsi="Times New Roman" w:eastAsia="Microsoft JhengHei" w:cs="Times New Roman"/>
                <w:b/>
                <w:snapToGrid w:val="0"/>
                <w:kern w:val="2"/>
                <w:sz w:val="21"/>
                <w:szCs w:val="24"/>
                <w:lang w:val="en-US" w:eastAsia="zh-CN" w:bidi="ar-SA"/>
              </w:rPr>
              <w:t>裁量因素</w:t>
            </w:r>
            <w:r>
              <w:rPr>
                <w:rFonts w:hint="eastAsia" w:ascii="Times New Roman" w:hAnsi="Times New Roman" w:eastAsia="Microsoft JhengHei" w:cs="Times New Roman"/>
                <w:bCs/>
                <w:snapToGrid w:val="0"/>
                <w:kern w:val="2"/>
                <w:sz w:val="21"/>
                <w:szCs w:val="24"/>
                <w:lang w:val="en-US" w:eastAsia="zh-CN" w:bidi="ar-SA"/>
              </w:rPr>
              <w:t>（是指在进行裁量时，除裁量规则规定的从轻、减轻、从重情形外，可以考虑的因素）</w:t>
            </w:r>
          </w:p>
        </w:tc>
        <w:tc>
          <w:tcPr>
            <w:tcW w:w="11861" w:type="dxa"/>
            <w:gridSpan w:val="4"/>
            <w:tcBorders>
              <w:top w:val="single" w:color="000000" w:sz="8" w:space="0"/>
              <w:left w:val="single" w:color="auto" w:sz="4"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80" w:lineRule="exact"/>
              <w:jc w:val="both"/>
              <w:textAlignment w:val="auto"/>
              <w:rPr>
                <w:rFonts w:hint="eastAsia" w:ascii="Times New Roman" w:hAnsi="Times New Roman" w:eastAsia="Microsoft JhengHei" w:cs="Times New Roman"/>
                <w:b/>
                <w:snapToGrid w:val="0"/>
                <w:kern w:val="2"/>
                <w:sz w:val="21"/>
                <w:szCs w:val="24"/>
                <w:lang w:val="en-US" w:eastAsia="zh-CN" w:bidi="ar-SA"/>
              </w:rPr>
            </w:pPr>
            <w:r>
              <w:rPr>
                <w:rFonts w:hint="eastAsia" w:ascii="Times New Roman" w:hAnsi="Times New Roman" w:eastAsia="Microsoft JhengHei" w:cs="Times New Roman"/>
                <w:b/>
                <w:snapToGrid w:val="0"/>
                <w:kern w:val="2"/>
                <w:sz w:val="21"/>
                <w:szCs w:val="24"/>
                <w:lang w:val="en-US" w:eastAsia="zh-CN" w:bidi="ar-SA"/>
              </w:rPr>
              <w:t>从轻</w:t>
            </w:r>
            <w:r>
              <w:rPr>
                <w:rFonts w:hint="eastAsia" w:ascii="Times New Roman" w:hAnsi="Times New Roman" w:eastAsia="宋体" w:cs="Times New Roman"/>
                <w:b/>
                <w:snapToGrid w:val="0"/>
                <w:kern w:val="2"/>
                <w:sz w:val="21"/>
                <w:szCs w:val="24"/>
                <w:lang w:val="en-US" w:eastAsia="zh-CN" w:bidi="ar-SA"/>
              </w:rPr>
              <w:t>处</w:t>
            </w:r>
            <w:r>
              <w:rPr>
                <w:rFonts w:hint="eastAsia" w:ascii="Times New Roman" w:hAnsi="Times New Roman" w:eastAsia="Microsoft JhengHei" w:cs="Times New Roman"/>
                <w:b/>
                <w:snapToGrid w:val="0"/>
                <w:kern w:val="2"/>
                <w:sz w:val="21"/>
                <w:szCs w:val="24"/>
                <w:lang w:val="en-US" w:eastAsia="zh-CN" w:bidi="ar-SA"/>
              </w:rPr>
              <w:t>罚考虑因素：</w:t>
            </w:r>
          </w:p>
          <w:p>
            <w:pPr>
              <w:widowControl w:val="0"/>
              <w:pBdr>
                <w:top w:val="none" w:color="auto" w:sz="0" w:space="0"/>
                <w:left w:val="none" w:color="auto" w:sz="0" w:space="0"/>
                <w:bottom w:val="none" w:color="auto" w:sz="0" w:space="0"/>
                <w:right w:val="none" w:color="auto" w:sz="0" w:space="0"/>
              </w:pBdr>
              <w:spacing w:before="0" w:after="0" w:line="390" w:lineRule="atLeast"/>
              <w:ind w:left="0" w:right="0" w:firstLine="420"/>
              <w:jc w:val="both"/>
              <w:textAlignment w:val="center"/>
              <w:rPr>
                <w:rFonts w:ascii="宋体" w:hAnsi="宋体" w:eastAsia="宋体" w:cs="宋体"/>
                <w:snapToGrid w:val="0"/>
                <w:kern w:val="2"/>
                <w:sz w:val="21"/>
                <w:szCs w:val="21"/>
                <w:lang w:val="zh-CN" w:eastAsia="zh-CN" w:bidi="ar-SA"/>
              </w:rPr>
            </w:pPr>
            <w:r>
              <w:rPr>
                <w:rFonts w:ascii="宋体" w:hAnsi="宋体" w:eastAsia="宋体" w:cs="宋体"/>
                <w:snapToGrid w:val="0"/>
                <w:kern w:val="2"/>
                <w:sz w:val="21"/>
                <w:szCs w:val="21"/>
                <w:lang w:val="zh-CN" w:eastAsia="zh-CN" w:bidi="ar-SA"/>
              </w:rPr>
              <w:t>（一）经营或者购买药品类易制毒化学品，货值金额在5万元以上10万元以下的；</w:t>
            </w:r>
          </w:p>
          <w:p>
            <w:pPr>
              <w:widowControl w:val="0"/>
              <w:pBdr>
                <w:top w:val="none" w:color="auto" w:sz="0" w:space="0"/>
                <w:left w:val="none" w:color="auto" w:sz="0" w:space="0"/>
                <w:bottom w:val="none" w:color="auto" w:sz="0" w:space="0"/>
                <w:right w:val="none" w:color="auto" w:sz="0" w:space="0"/>
              </w:pBdr>
              <w:spacing w:line="390" w:lineRule="atLeast"/>
              <w:ind w:firstLine="420"/>
              <w:jc w:val="both"/>
              <w:textAlignment w:val="center"/>
              <w:rPr>
                <w:rFonts w:hint="eastAsia" w:ascii="Times New Roman" w:hAnsi="Times New Roman" w:eastAsia="宋体" w:cs="Times New Roman"/>
                <w:snapToGrid w:val="0"/>
                <w:kern w:val="2"/>
                <w:sz w:val="21"/>
                <w:szCs w:val="24"/>
                <w:lang w:val="en-US" w:eastAsia="zh-CN" w:bidi="ar-SA"/>
              </w:rPr>
            </w:pPr>
            <w:r>
              <w:rPr>
                <w:rFonts w:ascii="宋体" w:hAnsi="宋体" w:eastAsia="宋体" w:cs="宋体"/>
                <w:snapToGrid w:val="0"/>
                <w:kern w:val="2"/>
                <w:sz w:val="21"/>
                <w:szCs w:val="21"/>
                <w:lang w:val="zh-CN" w:eastAsia="zh-CN" w:bidi="ar-SA"/>
              </w:rPr>
              <w:t>（二）生产、运输或者进口、出口药品类易制毒化学品的</w:t>
            </w:r>
            <w:r>
              <w:rPr>
                <w:rFonts w:hint="eastAsia" w:ascii="宋体" w:hAnsi="宋体" w:eastAsia="宋体" w:cs="宋体"/>
                <w:snapToGrid w:val="0"/>
                <w:kern w:val="2"/>
                <w:sz w:val="21"/>
                <w:szCs w:val="21"/>
                <w:lang w:val="zh-CN" w:eastAsia="zh-CN" w:bidi="ar-SA"/>
              </w:rPr>
              <w:t>。</w:t>
            </w:r>
          </w:p>
          <w:p>
            <w:pPr>
              <w:keepNext w:val="0"/>
              <w:keepLines w:val="0"/>
              <w:pageBreakBefore w:val="0"/>
              <w:widowControl w:val="0"/>
              <w:kinsoku/>
              <w:wordWrap/>
              <w:overflowPunct/>
              <w:topLinePunct w:val="0"/>
              <w:autoSpaceDE w:val="0"/>
              <w:autoSpaceDN w:val="0"/>
              <w:bidi w:val="0"/>
              <w:adjustRightInd/>
              <w:snapToGrid w:val="0"/>
              <w:spacing w:line="280" w:lineRule="exact"/>
              <w:jc w:val="both"/>
              <w:textAlignment w:val="auto"/>
              <w:rPr>
                <w:rFonts w:hint="eastAsia" w:ascii="Times New Roman" w:hAnsi="Times New Roman" w:eastAsia="Microsoft JhengHei" w:cs="Times New Roman"/>
                <w:b/>
                <w:snapToGrid w:val="0"/>
                <w:kern w:val="2"/>
                <w:sz w:val="21"/>
                <w:szCs w:val="24"/>
                <w:lang w:val="en-US" w:eastAsia="zh-CN" w:bidi="ar-SA"/>
              </w:rPr>
            </w:pPr>
            <w:r>
              <w:rPr>
                <w:rFonts w:hint="eastAsia" w:ascii="Times New Roman" w:hAnsi="Times New Roman" w:eastAsia="Microsoft JhengHei" w:cs="Times New Roman"/>
                <w:b/>
                <w:snapToGrid w:val="0"/>
                <w:kern w:val="2"/>
                <w:sz w:val="21"/>
                <w:szCs w:val="24"/>
                <w:lang w:val="en-US" w:eastAsia="zh-CN" w:bidi="ar-SA"/>
              </w:rPr>
              <w:t>从重</w:t>
            </w:r>
            <w:r>
              <w:rPr>
                <w:rFonts w:hint="eastAsia" w:ascii="Times New Roman" w:hAnsi="Times New Roman" w:eastAsia="宋体" w:cs="Times New Roman"/>
                <w:b/>
                <w:snapToGrid w:val="0"/>
                <w:kern w:val="2"/>
                <w:sz w:val="21"/>
                <w:szCs w:val="24"/>
                <w:lang w:val="en-US" w:eastAsia="zh-CN" w:bidi="ar-SA"/>
              </w:rPr>
              <w:t>处</w:t>
            </w:r>
            <w:r>
              <w:rPr>
                <w:rFonts w:hint="eastAsia" w:ascii="Times New Roman" w:hAnsi="Times New Roman" w:eastAsia="Microsoft JhengHei" w:cs="Times New Roman"/>
                <w:b/>
                <w:snapToGrid w:val="0"/>
                <w:kern w:val="2"/>
                <w:sz w:val="21"/>
                <w:szCs w:val="24"/>
                <w:lang w:val="en-US" w:eastAsia="zh-CN" w:bidi="ar-SA"/>
              </w:rPr>
              <w:t>罚考虑因素：</w:t>
            </w:r>
          </w:p>
          <w:p>
            <w:pPr>
              <w:widowControl w:val="0"/>
              <w:pBdr>
                <w:top w:val="none" w:color="auto" w:sz="0" w:space="0"/>
                <w:left w:val="none" w:color="auto" w:sz="0" w:space="0"/>
                <w:bottom w:val="none" w:color="auto" w:sz="0" w:space="0"/>
                <w:right w:val="none" w:color="auto" w:sz="0" w:space="0"/>
              </w:pBdr>
              <w:spacing w:before="0" w:after="0" w:line="390" w:lineRule="atLeast"/>
              <w:ind w:left="0" w:right="0" w:firstLine="420"/>
              <w:jc w:val="both"/>
              <w:textAlignment w:val="center"/>
              <w:rPr>
                <w:rFonts w:ascii="宋体" w:hAnsi="宋体" w:eastAsia="宋体" w:cs="宋体"/>
                <w:snapToGrid w:val="0"/>
                <w:kern w:val="2"/>
                <w:sz w:val="21"/>
                <w:szCs w:val="21"/>
                <w:lang w:val="zh-CN" w:eastAsia="zh-CN" w:bidi="ar-SA"/>
              </w:rPr>
            </w:pPr>
            <w:r>
              <w:rPr>
                <w:rFonts w:ascii="宋体" w:hAnsi="宋体" w:eastAsia="宋体" w:cs="宋体"/>
                <w:snapToGrid w:val="0"/>
                <w:kern w:val="2"/>
                <w:sz w:val="21"/>
                <w:szCs w:val="21"/>
                <w:lang w:val="zh-CN" w:eastAsia="zh-CN" w:bidi="ar-SA"/>
              </w:rPr>
              <w:t>（一）经营或者购买药品类易制毒化学品，货值金额在10万元以上的；</w:t>
            </w:r>
          </w:p>
          <w:p>
            <w:pPr>
              <w:widowControl w:val="0"/>
              <w:pBdr>
                <w:top w:val="none" w:color="auto" w:sz="0" w:space="0"/>
                <w:left w:val="none" w:color="auto" w:sz="0" w:space="0"/>
                <w:bottom w:val="none" w:color="auto" w:sz="0" w:space="0"/>
                <w:right w:val="none" w:color="auto" w:sz="0" w:space="0"/>
              </w:pBdr>
              <w:spacing w:before="0" w:after="0" w:line="390" w:lineRule="atLeast"/>
              <w:ind w:left="0" w:right="0" w:firstLine="420"/>
              <w:jc w:val="both"/>
              <w:textAlignment w:val="center"/>
              <w:rPr>
                <w:rFonts w:ascii="宋体" w:hAnsi="宋体" w:eastAsia="宋体" w:cs="宋体"/>
                <w:snapToGrid w:val="0"/>
                <w:kern w:val="2"/>
                <w:sz w:val="21"/>
                <w:szCs w:val="21"/>
                <w:lang w:val="zh-CN" w:eastAsia="zh-CN" w:bidi="ar-SA"/>
              </w:rPr>
            </w:pPr>
            <w:r>
              <w:rPr>
                <w:rFonts w:ascii="宋体" w:hAnsi="宋体" w:eastAsia="宋体" w:cs="宋体"/>
                <w:snapToGrid w:val="0"/>
                <w:kern w:val="2"/>
                <w:sz w:val="21"/>
                <w:szCs w:val="21"/>
                <w:lang w:val="zh-CN" w:eastAsia="zh-CN" w:bidi="ar-SA"/>
              </w:rPr>
              <w:t>（二）造成药品类易制毒化学品流弊的；</w:t>
            </w:r>
          </w:p>
          <w:p>
            <w:pPr>
              <w:widowControl w:val="0"/>
              <w:snapToGrid w:val="0"/>
              <w:spacing w:line="400" w:lineRule="exact"/>
              <w:ind w:firstLine="420" w:firstLineChars="200"/>
              <w:jc w:val="both"/>
              <w:rPr>
                <w:rFonts w:hint="eastAsia" w:ascii="Times New Roman" w:hAnsi="Times New Roman" w:eastAsia="宋体" w:cs="Times New Roman"/>
                <w:snapToGrid w:val="0"/>
                <w:kern w:val="2"/>
                <w:sz w:val="21"/>
                <w:szCs w:val="24"/>
                <w:lang w:val="en-US" w:eastAsia="zh-CN" w:bidi="ar-SA"/>
              </w:rPr>
            </w:pPr>
            <w:r>
              <w:rPr>
                <w:rFonts w:ascii="宋体" w:hAnsi="宋体" w:eastAsia="宋体" w:cs="宋体"/>
                <w:snapToGrid w:val="0"/>
                <w:kern w:val="2"/>
                <w:sz w:val="21"/>
                <w:szCs w:val="21"/>
                <w:lang w:val="zh-CN" w:eastAsia="zh-CN" w:bidi="ar-SA"/>
              </w:rPr>
              <w:t>（三）损坏执法装备，或者造成执法人员人身伤害的</w:t>
            </w:r>
            <w:r>
              <w:rPr>
                <w:rFonts w:hint="eastAsia" w:ascii="宋体" w:hAnsi="宋体" w:eastAsia="宋体" w:cs="宋体"/>
                <w:snapToGrid w:val="0"/>
                <w:kern w:val="2"/>
                <w:sz w:val="21"/>
                <w:szCs w:val="21"/>
                <w:lang w:val="zh-CN" w:eastAsia="zh-CN" w:bidi="ar-SA"/>
              </w:rPr>
              <w:t>。</w:t>
            </w:r>
          </w:p>
        </w:tc>
      </w:tr>
    </w:tbl>
    <w:p>
      <w:pPr>
        <w:pStyle w:val="11"/>
        <w:keepNext w:val="0"/>
        <w:keepLines w:val="0"/>
        <w:pageBreakBefore w:val="0"/>
        <w:widowControl w:val="0"/>
        <w:kinsoku/>
        <w:wordWrap/>
        <w:overflowPunct/>
        <w:topLinePunct w:val="0"/>
        <w:autoSpaceDE w:val="0"/>
        <w:autoSpaceDN w:val="0"/>
        <w:bidi w:val="0"/>
        <w:adjustRightInd/>
        <w:snapToGrid/>
        <w:spacing w:line="240" w:lineRule="auto"/>
        <w:ind w:right="0" w:firstLine="421" w:firstLineChars="200"/>
        <w:jc w:val="both"/>
        <w:textAlignment w:val="auto"/>
        <w:rPr>
          <w:rFonts w:hint="eastAsia" w:ascii="Microsoft JhengHei"/>
          <w:b/>
          <w:sz w:val="21"/>
          <w:lang w:val="en-US" w:eastAsia="zh-CN"/>
        </w:rPr>
        <w:sectPr>
          <w:pgSz w:w="16838" w:h="11906" w:orient="landscape"/>
          <w:pgMar w:top="1800" w:right="1440" w:bottom="1800" w:left="1440" w:header="851" w:footer="992" w:gutter="0"/>
          <w:pgNumType w:fmt="decimal"/>
          <w:cols w:space="720" w:num="1"/>
          <w:docGrid w:type="lines" w:linePitch="312" w:charSpace="0"/>
        </w:sectPr>
      </w:pPr>
    </w:p>
    <w:tbl>
      <w:tblPr>
        <w:tblStyle w:val="8"/>
        <w:tblpPr w:leftFromText="180" w:rightFromText="180" w:vertAnchor="page" w:horzAnchor="page" w:tblpX="1459" w:tblpY="2328"/>
        <w:tblOverlap w:val="never"/>
        <w:tblW w:w="140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3"/>
        <w:gridCol w:w="1607"/>
        <w:gridCol w:w="2799"/>
        <w:gridCol w:w="3072"/>
        <w:gridCol w:w="2937"/>
        <w:gridCol w:w="3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23" w:type="dxa"/>
            <w:vMerge w:val="restart"/>
            <w:tcBorders>
              <w:top w:val="single" w:color="auto" w:sz="4" w:space="0"/>
              <w:bottom w:val="nil"/>
              <w:right w:val="single" w:color="000000" w:sz="8" w:space="0"/>
            </w:tcBorders>
            <w:noWrap w:val="0"/>
            <w:vAlign w:val="center"/>
          </w:tcPr>
          <w:p>
            <w:pPr>
              <w:widowControl w:val="0"/>
              <w:snapToGrid w:val="0"/>
              <w:spacing w:line="400" w:lineRule="exact"/>
              <w:jc w:val="center"/>
              <w:rPr>
                <w:rFonts w:hint="default" w:ascii="Times New Roman" w:hAnsi="Times New Roman" w:eastAsia="宋体" w:cs="Times New Roman"/>
                <w:b/>
                <w:snapToGrid w:val="0"/>
                <w:kern w:val="2"/>
                <w:sz w:val="21"/>
                <w:szCs w:val="24"/>
                <w:lang w:val="en-US" w:eastAsia="zh-CN" w:bidi="ar-SA"/>
              </w:rPr>
            </w:pPr>
            <w:r>
              <w:rPr>
                <w:rFonts w:hint="eastAsia" w:ascii="Times New Roman" w:hAnsi="Times New Roman" w:cs="Times New Roman"/>
                <w:b/>
                <w:snapToGrid w:val="0"/>
                <w:w w:val="98"/>
                <w:kern w:val="2"/>
                <w:sz w:val="21"/>
                <w:szCs w:val="24"/>
                <w:lang w:val="en-US" w:eastAsia="zh-CN" w:bidi="ar-SA"/>
              </w:rPr>
              <w:t>16</w:t>
            </w:r>
          </w:p>
        </w:tc>
        <w:tc>
          <w:tcPr>
            <w:tcW w:w="1607" w:type="dxa"/>
            <w:noWrap w:val="0"/>
            <w:vAlign w:val="center"/>
          </w:tcPr>
          <w:p>
            <w:pPr>
              <w:widowControl w:val="0"/>
              <w:snapToGrid w:val="0"/>
              <w:spacing w:line="400" w:lineRule="exact"/>
              <w:jc w:val="center"/>
              <w:rPr>
                <w:rFonts w:hint="eastAsia" w:ascii="Times New Roman" w:hAnsi="Times New Roman" w:eastAsia="宋体" w:cs="Times New Roman"/>
                <w:b/>
                <w:snapToGrid w:val="0"/>
                <w:kern w:val="2"/>
                <w:sz w:val="21"/>
                <w:szCs w:val="24"/>
                <w:lang w:val="en-US" w:eastAsia="zh-CN" w:bidi="ar-SA"/>
              </w:rPr>
            </w:pPr>
            <w:r>
              <w:rPr>
                <w:rFonts w:hint="eastAsia" w:ascii="Times New Roman" w:hAnsi="Times New Roman" w:eastAsia="宋体" w:cs="Times New Roman"/>
                <w:b/>
                <w:snapToGrid w:val="0"/>
                <w:kern w:val="2"/>
                <w:sz w:val="21"/>
                <w:szCs w:val="24"/>
                <w:lang w:val="en-US" w:eastAsia="zh-CN" w:bidi="ar-SA"/>
              </w:rPr>
              <w:t>裁量条款</w:t>
            </w:r>
          </w:p>
        </w:tc>
        <w:tc>
          <w:tcPr>
            <w:tcW w:w="11861" w:type="dxa"/>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ascii="Times New Roman" w:hAnsi="Times New Roman" w:eastAsia="宋体" w:cs="Times New Roman"/>
                <w:b/>
                <w:snapToGrid w:val="0"/>
                <w:kern w:val="2"/>
                <w:sz w:val="21"/>
                <w:szCs w:val="24"/>
                <w:lang w:val="en-US" w:eastAsia="zh-CN" w:bidi="ar-SA"/>
              </w:rPr>
            </w:pPr>
            <w:r>
              <w:rPr>
                <w:rFonts w:hint="eastAsia" w:ascii="Microsoft JhengHei"/>
                <w:b/>
                <w:sz w:val="21"/>
                <w:lang w:val="en-US" w:eastAsia="zh-CN"/>
              </w:rPr>
              <w:t>第十六条  本条是对《进口药材管理办法》第三十三条“并处1万元以上3万元以下的罚款”裁量基准的规定。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7" w:hRule="atLeast"/>
        </w:trPr>
        <w:tc>
          <w:tcPr>
            <w:tcW w:w="623"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607" w:type="dxa"/>
            <w:noWrap w:val="0"/>
            <w:vAlign w:val="center"/>
          </w:tcPr>
          <w:p>
            <w:pPr>
              <w:widowControl w:val="0"/>
              <w:snapToGrid w:val="0"/>
              <w:spacing w:line="400" w:lineRule="exact"/>
              <w:jc w:val="center"/>
              <w:rPr>
                <w:rFonts w:hint="eastAsia" w:ascii="Times New Roman" w:hAnsi="Times New Roman" w:eastAsia="宋体" w:cs="Times New Roman"/>
                <w:b/>
                <w:snapToGrid w:val="0"/>
                <w:kern w:val="2"/>
                <w:sz w:val="21"/>
                <w:szCs w:val="24"/>
                <w:lang w:val="en-US" w:eastAsia="zh-CN" w:bidi="ar-SA"/>
              </w:rPr>
            </w:pPr>
            <w:r>
              <w:rPr>
                <w:rFonts w:hint="eastAsia" w:ascii="Times New Roman" w:hAnsi="Times New Roman" w:eastAsia="宋体" w:cs="Times New Roman"/>
                <w:b/>
                <w:snapToGrid w:val="0"/>
                <w:kern w:val="2"/>
                <w:sz w:val="21"/>
                <w:szCs w:val="24"/>
                <w:lang w:val="en-US" w:eastAsia="zh-CN" w:bidi="ar-SA"/>
              </w:rPr>
              <w:t>关联法条</w:t>
            </w:r>
          </w:p>
        </w:tc>
        <w:tc>
          <w:tcPr>
            <w:tcW w:w="11861" w:type="dxa"/>
            <w:gridSpan w:val="4"/>
            <w:tcBorders>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ascii="Times New Roman" w:hAnsi="Times New Roman" w:eastAsia="宋体" w:cs="Times New Roman"/>
                <w:snapToGrid w:val="0"/>
                <w:kern w:val="2"/>
                <w:sz w:val="21"/>
                <w:szCs w:val="24"/>
                <w:lang w:val="en-US" w:eastAsia="zh-CN" w:bidi="ar-SA"/>
              </w:rPr>
            </w:pPr>
            <w:r>
              <w:rPr>
                <w:rFonts w:hint="eastAsia"/>
                <w:sz w:val="21"/>
                <w:lang w:val="en-US" w:eastAsia="zh-CN"/>
              </w:rPr>
              <w:t>《进口药材管理办法》第三十三条 进口单位提供虚假证明、文件资料或者采取其他欺骗手段办理备案的，给予警告，并处1万元以上3万元以下罚款。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623"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607" w:type="dxa"/>
            <w:tcBorders>
              <w:top w:val="single" w:color="000000" w:sz="8" w:space="0"/>
              <w:left w:val="single" w:color="000000" w:sz="8" w:space="0"/>
              <w:bottom w:val="single" w:color="000000" w:sz="8" w:space="0"/>
              <w:right w:val="single" w:color="000000" w:sz="8" w:space="0"/>
            </w:tcBorders>
            <w:noWrap w:val="0"/>
            <w:vAlign w:val="center"/>
          </w:tcPr>
          <w:p>
            <w:pPr>
              <w:widowControl w:val="0"/>
              <w:snapToGrid w:val="0"/>
              <w:spacing w:line="400" w:lineRule="exact"/>
              <w:jc w:val="center"/>
              <w:rPr>
                <w:rFonts w:ascii="Times New Roman" w:hAnsi="Times New Roman" w:eastAsia="Microsoft JhengHei" w:cs="Times New Roman"/>
                <w:b/>
                <w:snapToGrid w:val="0"/>
                <w:kern w:val="2"/>
                <w:sz w:val="21"/>
                <w:szCs w:val="24"/>
                <w:lang w:val="en-US" w:eastAsia="zh-CN" w:bidi="ar-SA"/>
              </w:rPr>
            </w:pPr>
            <w:r>
              <w:rPr>
                <w:rFonts w:hint="eastAsia" w:ascii="Times New Roman" w:hAnsi="Times New Roman" w:eastAsia="Microsoft JhengHei" w:cs="Times New Roman"/>
                <w:b/>
                <w:snapToGrid w:val="0"/>
                <w:kern w:val="2"/>
                <w:sz w:val="21"/>
                <w:szCs w:val="24"/>
                <w:lang w:val="en-US" w:eastAsia="zh-CN" w:bidi="ar-SA"/>
              </w:rPr>
              <w:t>裁量等级</w:t>
            </w:r>
          </w:p>
        </w:tc>
        <w:tc>
          <w:tcPr>
            <w:tcW w:w="2799"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减轻处罚幅度</w:t>
            </w:r>
          </w:p>
        </w:tc>
        <w:tc>
          <w:tcPr>
            <w:tcW w:w="3072"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从轻处罚幅度</w:t>
            </w:r>
          </w:p>
        </w:tc>
        <w:tc>
          <w:tcPr>
            <w:tcW w:w="2937"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一般处罚幅度</w:t>
            </w:r>
          </w:p>
        </w:tc>
        <w:tc>
          <w:tcPr>
            <w:tcW w:w="3053"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64" w:hRule="atLeast"/>
        </w:trPr>
        <w:tc>
          <w:tcPr>
            <w:tcW w:w="623"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607" w:type="dxa"/>
            <w:tcBorders>
              <w:top w:val="single" w:color="000000" w:sz="8" w:space="0"/>
              <w:left w:val="single" w:color="000000" w:sz="8" w:space="0"/>
              <w:bottom w:val="single" w:color="000000" w:sz="8" w:space="0"/>
              <w:right w:val="single" w:color="000000" w:sz="8" w:space="0"/>
            </w:tcBorders>
            <w:noWrap w:val="0"/>
            <w:vAlign w:val="center"/>
          </w:tcPr>
          <w:p>
            <w:pPr>
              <w:widowControl w:val="0"/>
              <w:snapToGrid w:val="0"/>
              <w:spacing w:line="400" w:lineRule="exact"/>
              <w:jc w:val="center"/>
              <w:rPr>
                <w:rFonts w:ascii="Times New Roman" w:hAnsi="Times New Roman" w:eastAsia="Microsoft JhengHei" w:cs="Times New Roman"/>
                <w:b/>
                <w:snapToGrid w:val="0"/>
                <w:color w:val="000000"/>
                <w:kern w:val="2"/>
                <w:sz w:val="21"/>
                <w:szCs w:val="24"/>
                <w:lang w:val="en-US" w:eastAsia="zh-CN" w:bidi="ar-SA"/>
              </w:rPr>
            </w:pPr>
            <w:r>
              <w:rPr>
                <w:rFonts w:hint="eastAsia" w:ascii="Times New Roman" w:hAnsi="Times New Roman" w:eastAsia="Microsoft JhengHei" w:cs="Times New Roman"/>
                <w:b/>
                <w:snapToGrid w:val="0"/>
                <w:color w:val="000000"/>
                <w:kern w:val="2"/>
                <w:sz w:val="21"/>
                <w:szCs w:val="24"/>
                <w:lang w:val="en-US" w:eastAsia="zh-CN" w:bidi="ar-SA"/>
              </w:rPr>
              <w:t>裁量基准</w:t>
            </w:r>
          </w:p>
        </w:tc>
        <w:tc>
          <w:tcPr>
            <w:tcW w:w="2799"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r>
              <w:rPr>
                <w:rFonts w:hint="eastAsia"/>
                <w:sz w:val="21"/>
                <w:lang w:val="en-US" w:eastAsia="zh-CN"/>
              </w:rPr>
              <w:t>符合裁量规则减轻行政处罚情形的，处1万元以下的罚款。</w:t>
            </w:r>
          </w:p>
        </w:tc>
        <w:tc>
          <w:tcPr>
            <w:tcW w:w="3072"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从轻行政处罚，处1万元至1.6万元的罚款。</w:t>
            </w:r>
          </w:p>
        </w:tc>
        <w:tc>
          <w:tcPr>
            <w:tcW w:w="2937"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r>
              <w:rPr>
                <w:rFonts w:hint="eastAsia"/>
                <w:sz w:val="21"/>
                <w:lang w:val="en-US" w:eastAsia="zh-CN"/>
              </w:rPr>
              <w:t>一般行政处罚，处1.6万元以上2.4万元以下的罚款。</w:t>
            </w:r>
          </w:p>
        </w:tc>
        <w:tc>
          <w:tcPr>
            <w:tcW w:w="3053"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从重行政处罚，处2.4万元至3万元的罚款。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0" w:hRule="atLeast"/>
        </w:trPr>
        <w:tc>
          <w:tcPr>
            <w:tcW w:w="623" w:type="dxa"/>
            <w:vMerge w:val="continue"/>
            <w:tcBorders>
              <w:right w:val="single" w:color="000000" w:sz="8" w:space="0"/>
            </w:tcBorders>
            <w:noWrap w:val="0"/>
            <w:vAlign w:val="center"/>
          </w:tcPr>
          <w:p>
            <w:pPr>
              <w:autoSpaceDE/>
              <w:autoSpaceDN/>
              <w:snapToGrid w:val="0"/>
              <w:spacing w:line="400" w:lineRule="exact"/>
              <w:jc w:val="both"/>
              <w:rPr>
                <w:rFonts w:ascii="Times New Roman" w:hAnsi="Times New Roman" w:cs="Times New Roman"/>
                <w:snapToGrid w:val="0"/>
                <w:kern w:val="2"/>
                <w:sz w:val="2"/>
                <w:szCs w:val="2"/>
                <w:lang w:val="en-US" w:bidi="ar-SA"/>
              </w:rPr>
            </w:pPr>
          </w:p>
        </w:tc>
        <w:tc>
          <w:tcPr>
            <w:tcW w:w="1607" w:type="dxa"/>
            <w:tcBorders>
              <w:top w:val="single" w:color="000000" w:sz="8" w:space="0"/>
              <w:left w:val="single" w:color="000000" w:sz="8" w:space="0"/>
              <w:bottom w:val="single" w:color="000000" w:sz="8"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80" w:lineRule="exact"/>
              <w:jc w:val="both"/>
              <w:textAlignment w:val="auto"/>
              <w:rPr>
                <w:rFonts w:hint="eastAsia" w:ascii="Times New Roman" w:hAnsi="Times New Roman" w:eastAsia="Microsoft JhengHei" w:cs="Times New Roman"/>
                <w:b/>
                <w:snapToGrid w:val="0"/>
                <w:kern w:val="2"/>
                <w:sz w:val="21"/>
                <w:szCs w:val="24"/>
                <w:lang w:val="en-US" w:eastAsia="zh-CN" w:bidi="ar-SA"/>
              </w:rPr>
            </w:pPr>
          </w:p>
          <w:p>
            <w:pPr>
              <w:keepNext w:val="0"/>
              <w:keepLines w:val="0"/>
              <w:pageBreakBefore w:val="0"/>
              <w:widowControl w:val="0"/>
              <w:kinsoku/>
              <w:wordWrap/>
              <w:overflowPunct/>
              <w:topLinePunct w:val="0"/>
              <w:autoSpaceDE w:val="0"/>
              <w:autoSpaceDN w:val="0"/>
              <w:bidi w:val="0"/>
              <w:adjustRightInd/>
              <w:snapToGrid w:val="0"/>
              <w:spacing w:line="280" w:lineRule="exact"/>
              <w:jc w:val="both"/>
              <w:textAlignment w:val="auto"/>
              <w:rPr>
                <w:rFonts w:hint="eastAsia" w:ascii="Times New Roman" w:hAnsi="Times New Roman" w:eastAsia="Microsoft JhengHei" w:cs="Times New Roman"/>
                <w:b/>
                <w:snapToGrid w:val="0"/>
                <w:kern w:val="2"/>
                <w:sz w:val="21"/>
                <w:szCs w:val="24"/>
                <w:lang w:val="en-US" w:eastAsia="zh-CN" w:bidi="ar-SA"/>
              </w:rPr>
            </w:pPr>
          </w:p>
          <w:p>
            <w:pPr>
              <w:keepNext w:val="0"/>
              <w:keepLines w:val="0"/>
              <w:pageBreakBefore w:val="0"/>
              <w:widowControl w:val="0"/>
              <w:kinsoku/>
              <w:wordWrap/>
              <w:overflowPunct/>
              <w:topLinePunct w:val="0"/>
              <w:autoSpaceDE w:val="0"/>
              <w:autoSpaceDN w:val="0"/>
              <w:bidi w:val="0"/>
              <w:adjustRightInd/>
              <w:snapToGrid w:val="0"/>
              <w:spacing w:line="280" w:lineRule="exact"/>
              <w:jc w:val="both"/>
              <w:textAlignment w:val="auto"/>
              <w:rPr>
                <w:rFonts w:hint="eastAsia" w:ascii="Times New Roman" w:hAnsi="Times New Roman" w:eastAsia="Microsoft JhengHei" w:cs="Times New Roman"/>
                <w:bCs/>
                <w:snapToGrid w:val="0"/>
                <w:kern w:val="2"/>
                <w:sz w:val="21"/>
                <w:szCs w:val="24"/>
                <w:lang w:val="en-US" w:eastAsia="zh-CN" w:bidi="ar-SA"/>
              </w:rPr>
            </w:pPr>
            <w:r>
              <w:rPr>
                <w:rFonts w:hint="eastAsia" w:ascii="Times New Roman" w:hAnsi="Times New Roman" w:eastAsia="Microsoft JhengHei" w:cs="Times New Roman"/>
                <w:b/>
                <w:snapToGrid w:val="0"/>
                <w:kern w:val="2"/>
                <w:sz w:val="21"/>
                <w:szCs w:val="24"/>
                <w:lang w:val="en-US" w:eastAsia="zh-CN" w:bidi="ar-SA"/>
              </w:rPr>
              <w:t>裁量因素</w:t>
            </w:r>
            <w:r>
              <w:rPr>
                <w:rFonts w:hint="eastAsia" w:ascii="Times New Roman" w:hAnsi="Times New Roman" w:eastAsia="Microsoft JhengHei" w:cs="Times New Roman"/>
                <w:bCs/>
                <w:snapToGrid w:val="0"/>
                <w:kern w:val="2"/>
                <w:sz w:val="21"/>
                <w:szCs w:val="24"/>
                <w:lang w:val="en-US" w:eastAsia="zh-CN" w:bidi="ar-SA"/>
              </w:rPr>
              <w:t>（是指在进行裁量时，除裁量规则规定的从轻、减轻、从重情形外，可以考虑的因素）</w:t>
            </w:r>
          </w:p>
          <w:p>
            <w:pPr>
              <w:keepNext w:val="0"/>
              <w:keepLines w:val="0"/>
              <w:pageBreakBefore w:val="0"/>
              <w:widowControl w:val="0"/>
              <w:kinsoku/>
              <w:wordWrap/>
              <w:overflowPunct/>
              <w:topLinePunct w:val="0"/>
              <w:autoSpaceDE w:val="0"/>
              <w:autoSpaceDN w:val="0"/>
              <w:bidi w:val="0"/>
              <w:adjustRightInd/>
              <w:snapToGrid w:val="0"/>
              <w:spacing w:line="280" w:lineRule="exact"/>
              <w:jc w:val="both"/>
              <w:textAlignment w:val="auto"/>
              <w:rPr>
                <w:rFonts w:hint="eastAsia" w:ascii="Times New Roman" w:hAnsi="Times New Roman" w:eastAsia="Microsoft JhengHei" w:cs="Times New Roman"/>
                <w:bCs/>
                <w:snapToGrid w:val="0"/>
                <w:kern w:val="2"/>
                <w:sz w:val="21"/>
                <w:szCs w:val="24"/>
                <w:lang w:val="en-US" w:eastAsia="zh-CN" w:bidi="ar-SA"/>
              </w:rPr>
            </w:pPr>
          </w:p>
          <w:p>
            <w:pPr>
              <w:keepNext w:val="0"/>
              <w:keepLines w:val="0"/>
              <w:pageBreakBefore w:val="0"/>
              <w:widowControl w:val="0"/>
              <w:kinsoku/>
              <w:wordWrap/>
              <w:overflowPunct/>
              <w:topLinePunct w:val="0"/>
              <w:autoSpaceDE w:val="0"/>
              <w:autoSpaceDN w:val="0"/>
              <w:bidi w:val="0"/>
              <w:adjustRightInd/>
              <w:snapToGrid w:val="0"/>
              <w:spacing w:line="280" w:lineRule="exact"/>
              <w:jc w:val="both"/>
              <w:textAlignment w:val="auto"/>
              <w:rPr>
                <w:rFonts w:hint="eastAsia" w:ascii="Times New Roman" w:hAnsi="Times New Roman" w:eastAsia="Microsoft JhengHei" w:cs="Times New Roman"/>
                <w:bCs/>
                <w:snapToGrid w:val="0"/>
                <w:kern w:val="2"/>
                <w:sz w:val="21"/>
                <w:szCs w:val="24"/>
                <w:lang w:val="en-US" w:eastAsia="zh-CN" w:bidi="ar-SA"/>
              </w:rPr>
            </w:pPr>
          </w:p>
        </w:tc>
        <w:tc>
          <w:tcPr>
            <w:tcW w:w="11861" w:type="dxa"/>
            <w:gridSpan w:val="4"/>
            <w:tcBorders>
              <w:top w:val="single" w:color="000000" w:sz="8" w:space="0"/>
              <w:left w:val="single" w:color="auto" w:sz="4" w:space="0"/>
              <w:bottom w:val="single" w:color="000000" w:sz="8" w:space="0"/>
              <w:right w:val="single" w:color="000000" w:sz="8" w:space="0"/>
            </w:tcBorders>
            <w:noWrap w:val="0"/>
            <w:vAlign w:val="center"/>
          </w:tcPr>
          <w:p>
            <w:pPr>
              <w:widowControl w:val="0"/>
              <w:jc w:val="both"/>
              <w:rPr>
                <w:rFonts w:hint="default" w:ascii="Times New Roman" w:hAnsi="Times New Roman" w:eastAsia="宋体" w:cs="宋体"/>
                <w:b w:val="0"/>
                <w:bCs w:val="0"/>
                <w:snapToGrid w:val="0"/>
                <w:color w:val="000000"/>
                <w:kern w:val="0"/>
                <w:sz w:val="21"/>
                <w:szCs w:val="21"/>
                <w:lang w:val="zh-CN" w:eastAsia="zh-CN" w:bidi="ar"/>
              </w:rPr>
            </w:pPr>
            <w:r>
              <w:rPr>
                <w:rFonts w:hint="eastAsia" w:ascii="宋体" w:hAnsi="宋体" w:eastAsia="宋体" w:cs="宋体"/>
                <w:b/>
                <w:bCs/>
                <w:snapToGrid w:val="0"/>
                <w:color w:val="000000"/>
                <w:kern w:val="0"/>
                <w:sz w:val="21"/>
                <w:szCs w:val="21"/>
                <w:lang w:val="en-US" w:eastAsia="zh-CN" w:bidi="ar"/>
              </w:rPr>
              <w:t>从轻处罚考虑因素：</w:t>
            </w:r>
            <w:r>
              <w:rPr>
                <w:rFonts w:hint="default" w:ascii="Times New Roman" w:hAnsi="Times New Roman" w:eastAsia="宋体" w:cs="宋体"/>
                <w:b w:val="0"/>
                <w:bCs w:val="0"/>
                <w:snapToGrid w:val="0"/>
                <w:color w:val="000000"/>
                <w:kern w:val="0"/>
                <w:sz w:val="21"/>
                <w:szCs w:val="21"/>
                <w:lang w:val="zh-CN" w:eastAsia="zh-CN" w:bidi="ar"/>
              </w:rPr>
              <w:t>已经经营，且货值金额在1万元以下的。</w:t>
            </w:r>
          </w:p>
          <w:p>
            <w:pPr>
              <w:keepNext w:val="0"/>
              <w:keepLines w:val="0"/>
              <w:pageBreakBefore w:val="0"/>
              <w:widowControl w:val="0"/>
              <w:kinsoku/>
              <w:wordWrap/>
              <w:overflowPunct/>
              <w:topLinePunct w:val="0"/>
              <w:autoSpaceDE w:val="0"/>
              <w:autoSpaceDN w:val="0"/>
              <w:bidi w:val="0"/>
              <w:adjustRightInd/>
              <w:snapToGrid/>
              <w:spacing w:line="240" w:lineRule="auto"/>
              <w:ind w:right="0" w:rightChars="0"/>
              <w:jc w:val="both"/>
              <w:textAlignment w:val="auto"/>
              <w:rPr>
                <w:rFonts w:hint="eastAsia" w:ascii="Times New Roman" w:hAnsi="Times New Roman" w:eastAsia="宋体" w:cs="Times New Roman"/>
                <w:snapToGrid w:val="0"/>
                <w:kern w:val="2"/>
                <w:sz w:val="21"/>
                <w:szCs w:val="24"/>
                <w:lang w:val="en-US" w:eastAsia="zh-CN" w:bidi="ar-SA"/>
              </w:rPr>
            </w:pPr>
            <w:r>
              <w:rPr>
                <w:rFonts w:hint="eastAsia" w:ascii="宋体" w:hAnsi="宋体" w:eastAsia="宋体" w:cs="宋体"/>
                <w:b/>
                <w:bCs/>
                <w:snapToGrid w:val="0"/>
                <w:color w:val="000000"/>
                <w:kern w:val="0"/>
                <w:sz w:val="21"/>
                <w:szCs w:val="21"/>
                <w:lang w:val="en-US" w:eastAsia="zh-CN" w:bidi="ar"/>
              </w:rPr>
              <w:t>从重处罚考虑因素：</w:t>
            </w:r>
            <w:r>
              <w:rPr>
                <w:rFonts w:hint="default" w:ascii="Times New Roman" w:hAnsi="Times New Roman" w:eastAsia="宋体" w:cs="宋体"/>
                <w:b w:val="0"/>
                <w:bCs w:val="0"/>
                <w:snapToGrid w:val="0"/>
                <w:color w:val="000000"/>
                <w:kern w:val="0"/>
                <w:sz w:val="21"/>
                <w:szCs w:val="21"/>
                <w:lang w:val="zh-CN" w:eastAsia="zh-CN" w:bidi="ar"/>
              </w:rPr>
              <w:t>已经经营，且货值金额在1万元以上的</w:t>
            </w:r>
            <w:r>
              <w:rPr>
                <w:rFonts w:hint="eastAsia" w:ascii="Times New Roman" w:hAnsi="Times New Roman" w:eastAsia="宋体" w:cs="宋体"/>
                <w:b w:val="0"/>
                <w:bCs w:val="0"/>
                <w:snapToGrid w:val="0"/>
                <w:color w:val="000000"/>
                <w:kern w:val="0"/>
                <w:sz w:val="21"/>
                <w:szCs w:val="21"/>
                <w:lang w:val="zh-CN" w:eastAsia="zh-CN" w:bidi="ar"/>
              </w:rPr>
              <w:t>。</w:t>
            </w:r>
          </w:p>
        </w:tc>
      </w:tr>
    </w:tbl>
    <w:tbl>
      <w:tblPr>
        <w:tblStyle w:val="8"/>
        <w:tblpPr w:leftFromText="180" w:rightFromText="180" w:vertAnchor="page" w:horzAnchor="page" w:tblpX="1550" w:tblpY="2310"/>
        <w:tblOverlap w:val="never"/>
        <w:tblW w:w="140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3"/>
        <w:gridCol w:w="1613"/>
        <w:gridCol w:w="2775"/>
        <w:gridCol w:w="3075"/>
        <w:gridCol w:w="2943"/>
        <w:gridCol w:w="3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3" w:type="dxa"/>
            <w:vMerge w:val="restart"/>
            <w:tcBorders>
              <w:top w:val="single" w:color="auto" w:sz="4" w:space="0"/>
              <w:bottom w:val="nil"/>
              <w:right w:val="single" w:color="000000" w:sz="8" w:space="0"/>
            </w:tcBorders>
            <w:noWrap w:val="0"/>
            <w:vAlign w:val="center"/>
          </w:tcPr>
          <w:p>
            <w:pPr>
              <w:widowControl w:val="0"/>
              <w:snapToGrid w:val="0"/>
              <w:spacing w:line="400" w:lineRule="exact"/>
              <w:jc w:val="center"/>
              <w:rPr>
                <w:rFonts w:hint="default" w:ascii="Times New Roman" w:hAnsi="Times New Roman" w:eastAsia="宋体" w:cs="Times New Roman"/>
                <w:b/>
                <w:snapToGrid w:val="0"/>
                <w:kern w:val="2"/>
                <w:sz w:val="21"/>
                <w:szCs w:val="24"/>
                <w:lang w:val="en-US" w:eastAsia="zh-CN" w:bidi="ar-SA"/>
              </w:rPr>
            </w:pPr>
            <w:r>
              <w:rPr>
                <w:rFonts w:hint="eastAsia" w:ascii="Times New Roman" w:hAnsi="Times New Roman" w:cs="Times New Roman"/>
                <w:b/>
                <w:snapToGrid w:val="0"/>
                <w:kern w:val="2"/>
                <w:sz w:val="21"/>
                <w:szCs w:val="24"/>
                <w:lang w:val="en-US" w:eastAsia="zh-CN" w:bidi="ar-SA"/>
              </w:rPr>
              <w:t>17</w:t>
            </w:r>
          </w:p>
        </w:tc>
        <w:tc>
          <w:tcPr>
            <w:tcW w:w="1613" w:type="dxa"/>
            <w:noWrap w:val="0"/>
            <w:vAlign w:val="center"/>
          </w:tcPr>
          <w:p>
            <w:pPr>
              <w:widowControl w:val="0"/>
              <w:snapToGrid w:val="0"/>
              <w:spacing w:line="400" w:lineRule="exact"/>
              <w:jc w:val="center"/>
              <w:rPr>
                <w:rFonts w:hint="eastAsia" w:ascii="Times New Roman" w:hAnsi="Times New Roman" w:eastAsia="宋体" w:cs="Times New Roman"/>
                <w:b/>
                <w:snapToGrid w:val="0"/>
                <w:kern w:val="2"/>
                <w:sz w:val="21"/>
                <w:szCs w:val="24"/>
                <w:lang w:val="en-US" w:eastAsia="zh-CN" w:bidi="ar-SA"/>
              </w:rPr>
            </w:pPr>
            <w:r>
              <w:rPr>
                <w:rFonts w:hint="eastAsia" w:ascii="Times New Roman" w:hAnsi="Times New Roman" w:eastAsia="宋体" w:cs="Times New Roman"/>
                <w:b/>
                <w:snapToGrid w:val="0"/>
                <w:kern w:val="2"/>
                <w:sz w:val="21"/>
                <w:szCs w:val="24"/>
                <w:lang w:val="en-US" w:eastAsia="zh-CN" w:bidi="ar-SA"/>
              </w:rPr>
              <w:t>裁量条款</w:t>
            </w:r>
          </w:p>
        </w:tc>
        <w:tc>
          <w:tcPr>
            <w:tcW w:w="11935" w:type="dxa"/>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ascii="Times New Roman" w:hAnsi="Times New Roman" w:eastAsia="宋体" w:cs="Times New Roman"/>
                <w:b/>
                <w:snapToGrid w:val="0"/>
                <w:kern w:val="2"/>
                <w:sz w:val="21"/>
                <w:szCs w:val="24"/>
                <w:lang w:val="en-US" w:eastAsia="zh-CN" w:bidi="ar-SA"/>
              </w:rPr>
            </w:pPr>
            <w:r>
              <w:rPr>
                <w:rFonts w:hint="eastAsia" w:ascii="Microsoft JhengHei"/>
                <w:b/>
                <w:sz w:val="21"/>
                <w:lang w:val="en-US" w:eastAsia="zh-CN"/>
              </w:rPr>
              <w:t>第十七条  本条是对《药品网络销售监督管理办法》第三十三条“处5万元以上10万元以下的罚款”裁量基准的规定。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7" w:hRule="atLeast"/>
        </w:trPr>
        <w:tc>
          <w:tcPr>
            <w:tcW w:w="543"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613" w:type="dxa"/>
            <w:noWrap w:val="0"/>
            <w:vAlign w:val="center"/>
          </w:tcPr>
          <w:p>
            <w:pPr>
              <w:widowControl w:val="0"/>
              <w:snapToGrid w:val="0"/>
              <w:spacing w:line="400" w:lineRule="exact"/>
              <w:jc w:val="center"/>
              <w:rPr>
                <w:rFonts w:hint="eastAsia" w:ascii="Times New Roman" w:hAnsi="Times New Roman" w:eastAsia="宋体" w:cs="Times New Roman"/>
                <w:b/>
                <w:snapToGrid w:val="0"/>
                <w:kern w:val="2"/>
                <w:sz w:val="21"/>
                <w:szCs w:val="24"/>
                <w:lang w:val="en-US" w:eastAsia="zh-CN" w:bidi="ar-SA"/>
              </w:rPr>
            </w:pPr>
            <w:r>
              <w:rPr>
                <w:rFonts w:hint="eastAsia" w:ascii="Times New Roman" w:hAnsi="Times New Roman" w:eastAsia="宋体" w:cs="Times New Roman"/>
                <w:b/>
                <w:snapToGrid w:val="0"/>
                <w:kern w:val="2"/>
                <w:sz w:val="21"/>
                <w:szCs w:val="24"/>
                <w:lang w:val="en-US" w:eastAsia="zh-CN" w:bidi="ar-SA"/>
              </w:rPr>
              <w:t>关联法条</w:t>
            </w:r>
          </w:p>
        </w:tc>
        <w:tc>
          <w:tcPr>
            <w:tcW w:w="11935" w:type="dxa"/>
            <w:gridSpan w:val="4"/>
            <w:tcBorders>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eastAsia"/>
                <w:sz w:val="21"/>
                <w:lang w:val="en-US" w:eastAsia="zh-CN"/>
              </w:rPr>
            </w:pPr>
            <w:r>
              <w:rPr>
                <w:rFonts w:hint="eastAsia"/>
                <w:sz w:val="21"/>
                <w:lang w:val="en-US" w:eastAsia="zh-CN"/>
              </w:rPr>
              <w:t>《药品网络销售监督管理办法》第三十三条 违反本办法第八条第二款的规定，通过网络销售国家实行特殊管理的药品，法律、行政法规已有规定的，依照法律、行政法规的规定处罚。法律、行政法规未作规定的，责令限期改正，处5万元以上10万元以下罚款；造成危害后果的，处10万元以上20万元以下罚款。</w:t>
            </w:r>
          </w:p>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eastAsia"/>
                <w:sz w:val="21"/>
                <w:lang w:val="en-US" w:eastAsia="zh-CN"/>
              </w:rPr>
            </w:pPr>
            <w:r>
              <w:rPr>
                <w:rFonts w:hint="eastAsia"/>
                <w:sz w:val="21"/>
                <w:lang w:val="en-US"/>
              </w:rPr>
              <w:t>《药品网络销售监督管理办法》第八条第二款 疫苗、血液制品、麻醉药品、精神药品、医疗用毒性药品、放射性药品、药品类易制毒化学品等国家实行特殊管理的药品不得在网络上销售，具体目录由国家药品监督管理局组织制定。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543"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613" w:type="dxa"/>
            <w:tcBorders>
              <w:top w:val="single" w:color="000000" w:sz="8" w:space="0"/>
              <w:left w:val="single" w:color="000000" w:sz="8" w:space="0"/>
              <w:bottom w:val="single" w:color="000000" w:sz="8" w:space="0"/>
              <w:right w:val="single" w:color="000000" w:sz="8" w:space="0"/>
            </w:tcBorders>
            <w:noWrap w:val="0"/>
            <w:vAlign w:val="center"/>
          </w:tcPr>
          <w:p>
            <w:pPr>
              <w:widowControl w:val="0"/>
              <w:snapToGrid w:val="0"/>
              <w:spacing w:line="400" w:lineRule="exact"/>
              <w:jc w:val="center"/>
              <w:rPr>
                <w:rFonts w:ascii="Times New Roman" w:hAnsi="Times New Roman" w:eastAsia="Microsoft JhengHei" w:cs="Times New Roman"/>
                <w:b/>
                <w:snapToGrid w:val="0"/>
                <w:kern w:val="2"/>
                <w:sz w:val="21"/>
                <w:szCs w:val="24"/>
                <w:lang w:val="en-US" w:eastAsia="zh-CN" w:bidi="ar-SA"/>
              </w:rPr>
            </w:pPr>
            <w:r>
              <w:rPr>
                <w:rFonts w:hint="eastAsia" w:ascii="Times New Roman" w:hAnsi="Times New Roman" w:eastAsia="Microsoft JhengHei" w:cs="Times New Roman"/>
                <w:b/>
                <w:snapToGrid w:val="0"/>
                <w:kern w:val="2"/>
                <w:sz w:val="21"/>
                <w:szCs w:val="24"/>
                <w:lang w:val="en-US" w:eastAsia="zh-CN" w:bidi="ar-SA"/>
              </w:rPr>
              <w:t>裁量等级</w:t>
            </w:r>
          </w:p>
        </w:tc>
        <w:tc>
          <w:tcPr>
            <w:tcW w:w="2775"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减轻处罚幅度</w:t>
            </w:r>
          </w:p>
        </w:tc>
        <w:tc>
          <w:tcPr>
            <w:tcW w:w="3075"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从轻处罚幅度</w:t>
            </w:r>
          </w:p>
        </w:tc>
        <w:tc>
          <w:tcPr>
            <w:tcW w:w="2943"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一般处罚幅度</w:t>
            </w:r>
          </w:p>
        </w:tc>
        <w:tc>
          <w:tcPr>
            <w:tcW w:w="3142"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543"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613" w:type="dxa"/>
            <w:tcBorders>
              <w:top w:val="single" w:color="000000" w:sz="8" w:space="0"/>
              <w:left w:val="single" w:color="000000" w:sz="8" w:space="0"/>
              <w:bottom w:val="single" w:color="000000" w:sz="8" w:space="0"/>
              <w:right w:val="single" w:color="000000" w:sz="8" w:space="0"/>
            </w:tcBorders>
            <w:noWrap w:val="0"/>
            <w:vAlign w:val="center"/>
          </w:tcPr>
          <w:p>
            <w:pPr>
              <w:widowControl w:val="0"/>
              <w:snapToGrid w:val="0"/>
              <w:spacing w:line="400" w:lineRule="exact"/>
              <w:jc w:val="center"/>
              <w:rPr>
                <w:rFonts w:ascii="Times New Roman" w:hAnsi="Times New Roman" w:eastAsia="Microsoft JhengHei" w:cs="Times New Roman"/>
                <w:b/>
                <w:snapToGrid w:val="0"/>
                <w:color w:val="000000"/>
                <w:kern w:val="2"/>
                <w:sz w:val="21"/>
                <w:szCs w:val="24"/>
                <w:lang w:val="en-US" w:eastAsia="zh-CN" w:bidi="ar-SA"/>
              </w:rPr>
            </w:pPr>
            <w:r>
              <w:rPr>
                <w:rFonts w:hint="eastAsia" w:ascii="Times New Roman" w:hAnsi="Times New Roman" w:eastAsia="Microsoft JhengHei" w:cs="Times New Roman"/>
                <w:b/>
                <w:snapToGrid w:val="0"/>
                <w:color w:val="000000"/>
                <w:kern w:val="2"/>
                <w:sz w:val="21"/>
                <w:szCs w:val="24"/>
                <w:lang w:val="en-US" w:eastAsia="zh-CN" w:bidi="ar-SA"/>
              </w:rPr>
              <w:t>裁量基准</w:t>
            </w:r>
          </w:p>
        </w:tc>
        <w:tc>
          <w:tcPr>
            <w:tcW w:w="2775"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r>
              <w:rPr>
                <w:rFonts w:hint="eastAsia"/>
                <w:sz w:val="21"/>
                <w:lang w:val="en-US" w:eastAsia="zh-CN"/>
              </w:rPr>
              <w:t>符合裁量规则减轻行政处罚情形的，处5万元以下的罚款。</w:t>
            </w:r>
          </w:p>
        </w:tc>
        <w:tc>
          <w:tcPr>
            <w:tcW w:w="3075"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从轻行政处罚，处5万元至6.5万元的罚款。</w:t>
            </w:r>
          </w:p>
        </w:tc>
        <w:tc>
          <w:tcPr>
            <w:tcW w:w="2943"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r>
              <w:rPr>
                <w:rFonts w:hint="eastAsia"/>
                <w:sz w:val="21"/>
                <w:lang w:val="en-US" w:eastAsia="zh-CN"/>
              </w:rPr>
              <w:t>一般行政处罚，处6.5万元以上8.5万元以下的罚款。</w:t>
            </w:r>
          </w:p>
        </w:tc>
        <w:tc>
          <w:tcPr>
            <w:tcW w:w="3142"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从重行政处罚，处8.5万元至10万元的罚款。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5" w:hRule="atLeast"/>
        </w:trPr>
        <w:tc>
          <w:tcPr>
            <w:tcW w:w="543" w:type="dxa"/>
            <w:vMerge w:val="continue"/>
            <w:tcBorders>
              <w:right w:val="single" w:color="000000" w:sz="8" w:space="0"/>
            </w:tcBorders>
            <w:noWrap w:val="0"/>
            <w:vAlign w:val="center"/>
          </w:tcPr>
          <w:p>
            <w:pPr>
              <w:autoSpaceDE/>
              <w:autoSpaceDN/>
              <w:snapToGrid w:val="0"/>
              <w:spacing w:line="400" w:lineRule="exact"/>
              <w:jc w:val="both"/>
              <w:rPr>
                <w:rFonts w:ascii="Times New Roman" w:hAnsi="Times New Roman" w:cs="Times New Roman"/>
                <w:snapToGrid w:val="0"/>
                <w:kern w:val="2"/>
                <w:sz w:val="2"/>
                <w:szCs w:val="2"/>
                <w:lang w:val="en-US" w:bidi="ar-SA"/>
              </w:rPr>
            </w:pPr>
          </w:p>
        </w:tc>
        <w:tc>
          <w:tcPr>
            <w:tcW w:w="1613" w:type="dxa"/>
            <w:tcBorders>
              <w:top w:val="single" w:color="000000" w:sz="8" w:space="0"/>
              <w:left w:val="single" w:color="000000" w:sz="8" w:space="0"/>
              <w:bottom w:val="single" w:color="000000" w:sz="8"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80" w:lineRule="exact"/>
              <w:jc w:val="both"/>
              <w:textAlignment w:val="auto"/>
              <w:rPr>
                <w:rFonts w:hint="eastAsia" w:ascii="Times New Roman" w:hAnsi="Times New Roman" w:eastAsia="宋体" w:cs="Times New Roman"/>
                <w:snapToGrid w:val="0"/>
                <w:kern w:val="2"/>
                <w:sz w:val="21"/>
                <w:szCs w:val="24"/>
                <w:lang w:val="en-US" w:eastAsia="zh-CN" w:bidi="ar-SA"/>
              </w:rPr>
            </w:pPr>
            <w:r>
              <w:rPr>
                <w:rFonts w:hint="eastAsia" w:ascii="Times New Roman" w:hAnsi="Times New Roman" w:eastAsia="Microsoft JhengHei" w:cs="Times New Roman"/>
                <w:b/>
                <w:snapToGrid w:val="0"/>
                <w:kern w:val="2"/>
                <w:sz w:val="21"/>
                <w:szCs w:val="24"/>
                <w:lang w:val="en-US" w:eastAsia="zh-CN" w:bidi="ar-SA"/>
              </w:rPr>
              <w:t>裁量因素</w:t>
            </w:r>
            <w:r>
              <w:rPr>
                <w:rFonts w:hint="eastAsia" w:ascii="Times New Roman" w:hAnsi="Times New Roman" w:eastAsia="Microsoft JhengHei" w:cs="Times New Roman"/>
                <w:bCs/>
                <w:snapToGrid w:val="0"/>
                <w:kern w:val="2"/>
                <w:sz w:val="21"/>
                <w:szCs w:val="24"/>
                <w:lang w:val="en-US" w:eastAsia="zh-CN" w:bidi="ar-SA"/>
              </w:rPr>
              <w:t>（是指在进行裁量时，除裁量规则规定的从轻、减轻、从重情形外，可以考虑的因素）</w:t>
            </w:r>
          </w:p>
        </w:tc>
        <w:tc>
          <w:tcPr>
            <w:tcW w:w="11935" w:type="dxa"/>
            <w:gridSpan w:val="4"/>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0" w:rightChars="0"/>
              <w:jc w:val="both"/>
              <w:textAlignment w:val="auto"/>
              <w:rPr>
                <w:rFonts w:hint="default" w:ascii="Times New Roman" w:hAnsi="Times New Roman" w:eastAsia="宋体" w:cs="宋体"/>
                <w:b w:val="0"/>
                <w:bCs w:val="0"/>
                <w:snapToGrid w:val="0"/>
                <w:color w:val="000000"/>
                <w:kern w:val="0"/>
                <w:sz w:val="21"/>
                <w:szCs w:val="21"/>
                <w:lang w:val="zh-CN" w:eastAsia="zh-CN" w:bidi="ar"/>
              </w:rPr>
            </w:pPr>
            <w:r>
              <w:rPr>
                <w:rFonts w:hint="eastAsia" w:ascii="Times New Roman" w:hAnsi="Times New Roman" w:eastAsia="宋体" w:cs="宋体"/>
                <w:b/>
                <w:bCs/>
                <w:snapToGrid w:val="0"/>
                <w:color w:val="000000"/>
                <w:kern w:val="0"/>
                <w:sz w:val="21"/>
                <w:szCs w:val="21"/>
                <w:lang w:val="en-US" w:eastAsia="zh-CN" w:bidi="ar"/>
              </w:rPr>
              <w:t>从轻处罚考虑因素：</w:t>
            </w:r>
            <w:r>
              <w:rPr>
                <w:rFonts w:hint="eastAsia" w:ascii="Times New Roman" w:hAnsi="Times New Roman" w:eastAsia="宋体" w:cs="宋体"/>
                <w:b w:val="0"/>
                <w:bCs w:val="0"/>
                <w:snapToGrid w:val="0"/>
                <w:color w:val="000000"/>
                <w:kern w:val="0"/>
                <w:sz w:val="21"/>
                <w:szCs w:val="21"/>
                <w:lang w:val="zh-CN" w:eastAsia="zh-CN" w:bidi="ar"/>
              </w:rPr>
              <w:t>产品单一、数量较小，未造成</w:t>
            </w:r>
            <w:r>
              <w:rPr>
                <w:rFonts w:hint="eastAsia" w:ascii="Times New Roman" w:hAnsi="Times New Roman" w:eastAsia="宋体" w:cs="宋体"/>
                <w:b w:val="0"/>
                <w:bCs w:val="0"/>
                <w:snapToGrid w:val="0"/>
                <w:color w:val="000000"/>
                <w:kern w:val="0"/>
                <w:sz w:val="21"/>
                <w:szCs w:val="21"/>
                <w:lang w:val="en-US" w:eastAsia="zh-CN" w:bidi="ar"/>
              </w:rPr>
              <w:t>危害</w:t>
            </w:r>
            <w:r>
              <w:rPr>
                <w:rFonts w:hint="eastAsia" w:ascii="Times New Roman" w:hAnsi="Times New Roman" w:eastAsia="宋体" w:cs="宋体"/>
                <w:b w:val="0"/>
                <w:bCs w:val="0"/>
                <w:snapToGrid w:val="0"/>
                <w:color w:val="000000"/>
                <w:kern w:val="0"/>
                <w:sz w:val="21"/>
                <w:szCs w:val="21"/>
                <w:lang w:val="zh-CN" w:eastAsia="zh-CN" w:bidi="ar"/>
              </w:rPr>
              <w:t>后果</w:t>
            </w:r>
            <w:r>
              <w:rPr>
                <w:rFonts w:hint="default" w:ascii="Times New Roman" w:hAnsi="Times New Roman" w:eastAsia="宋体" w:cs="宋体"/>
                <w:b w:val="0"/>
                <w:bCs w:val="0"/>
                <w:snapToGrid w:val="0"/>
                <w:color w:val="000000"/>
                <w:kern w:val="0"/>
                <w:sz w:val="21"/>
                <w:szCs w:val="21"/>
                <w:lang w:val="zh-CN" w:eastAsia="zh-CN" w:bidi="ar"/>
              </w:rPr>
              <w:t>。</w:t>
            </w:r>
          </w:p>
          <w:p>
            <w:pPr>
              <w:keepNext w:val="0"/>
              <w:keepLines w:val="0"/>
              <w:pageBreakBefore w:val="0"/>
              <w:widowControl w:val="0"/>
              <w:kinsoku/>
              <w:wordWrap/>
              <w:overflowPunct/>
              <w:topLinePunct w:val="0"/>
              <w:autoSpaceDE w:val="0"/>
              <w:autoSpaceDN w:val="0"/>
              <w:bidi w:val="0"/>
              <w:adjustRightInd/>
              <w:snapToGrid/>
              <w:spacing w:line="240" w:lineRule="auto"/>
              <w:ind w:right="0" w:rightChars="0"/>
              <w:jc w:val="both"/>
              <w:textAlignment w:val="auto"/>
              <w:rPr>
                <w:rFonts w:hint="eastAsia" w:ascii="Times New Roman" w:hAnsi="Times New Roman" w:eastAsia="宋体" w:cs="Times New Roman"/>
                <w:snapToGrid w:val="0"/>
                <w:kern w:val="2"/>
                <w:sz w:val="21"/>
                <w:szCs w:val="24"/>
                <w:lang w:val="en-US" w:eastAsia="zh-CN" w:bidi="ar-SA"/>
              </w:rPr>
            </w:pPr>
            <w:r>
              <w:rPr>
                <w:rFonts w:hint="eastAsia" w:ascii="Times New Roman" w:hAnsi="Times New Roman" w:eastAsia="宋体" w:cs="宋体"/>
                <w:b/>
                <w:bCs/>
                <w:snapToGrid w:val="0"/>
                <w:color w:val="000000"/>
                <w:kern w:val="0"/>
                <w:sz w:val="21"/>
                <w:szCs w:val="21"/>
                <w:lang w:val="en-US" w:eastAsia="zh-CN" w:bidi="ar"/>
              </w:rPr>
              <w:t>从重处罚考虑因素：</w:t>
            </w:r>
            <w:r>
              <w:rPr>
                <w:rFonts w:hint="eastAsia" w:ascii="Times New Roman" w:hAnsi="Times New Roman" w:eastAsia="宋体" w:cs="宋体"/>
                <w:b w:val="0"/>
                <w:bCs w:val="0"/>
                <w:snapToGrid w:val="0"/>
                <w:color w:val="000000"/>
                <w:kern w:val="0"/>
                <w:sz w:val="21"/>
                <w:szCs w:val="21"/>
                <w:lang w:val="zh-CN" w:eastAsia="zh-CN" w:bidi="ar"/>
              </w:rPr>
              <w:t>两个以上产品，涉案产品数量较大，未造成危害后果。</w:t>
            </w:r>
          </w:p>
        </w:tc>
      </w:tr>
    </w:tbl>
    <w:p>
      <w:pPr>
        <w:pStyle w:val="11"/>
        <w:keepNext w:val="0"/>
        <w:keepLines w:val="0"/>
        <w:pageBreakBefore w:val="0"/>
        <w:widowControl w:val="0"/>
        <w:kinsoku/>
        <w:wordWrap/>
        <w:overflowPunct/>
        <w:topLinePunct w:val="0"/>
        <w:autoSpaceDE w:val="0"/>
        <w:autoSpaceDN w:val="0"/>
        <w:bidi w:val="0"/>
        <w:adjustRightInd/>
        <w:snapToGrid/>
        <w:spacing w:line="240" w:lineRule="auto"/>
        <w:ind w:right="0" w:firstLine="421" w:firstLineChars="200"/>
        <w:jc w:val="both"/>
        <w:textAlignment w:val="auto"/>
        <w:rPr>
          <w:rFonts w:hint="eastAsia" w:ascii="Microsoft JhengHei"/>
          <w:b/>
          <w:sz w:val="21"/>
          <w:lang w:val="en-US" w:eastAsia="zh-CN"/>
        </w:rPr>
        <w:sectPr>
          <w:pgSz w:w="16838" w:h="11906" w:orient="landscape"/>
          <w:pgMar w:top="1800" w:right="1440" w:bottom="1800" w:left="1440" w:header="851" w:footer="992" w:gutter="0"/>
          <w:pgNumType w:fmt="decimal"/>
          <w:cols w:space="720" w:num="1"/>
          <w:docGrid w:type="lines" w:linePitch="312" w:charSpace="0"/>
        </w:sectPr>
      </w:pPr>
    </w:p>
    <w:tbl>
      <w:tblPr>
        <w:tblStyle w:val="8"/>
        <w:tblpPr w:leftFromText="180" w:rightFromText="180" w:vertAnchor="page" w:horzAnchor="page" w:tblpX="1568" w:tblpY="2217"/>
        <w:tblOverlap w:val="never"/>
        <w:tblW w:w="138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5"/>
        <w:gridCol w:w="1594"/>
        <w:gridCol w:w="2850"/>
        <w:gridCol w:w="3019"/>
        <w:gridCol w:w="2962"/>
        <w:gridCol w:w="2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 w:hRule="atLeast"/>
        </w:trPr>
        <w:tc>
          <w:tcPr>
            <w:tcW w:w="525" w:type="dxa"/>
            <w:vMerge w:val="restart"/>
            <w:tcBorders>
              <w:top w:val="single" w:color="auto" w:sz="4" w:space="0"/>
              <w:bottom w:val="nil"/>
              <w:right w:val="single" w:color="000000" w:sz="8" w:space="0"/>
            </w:tcBorders>
            <w:noWrap w:val="0"/>
            <w:vAlign w:val="center"/>
          </w:tcPr>
          <w:p>
            <w:pPr>
              <w:widowControl w:val="0"/>
              <w:snapToGrid w:val="0"/>
              <w:spacing w:line="400" w:lineRule="exact"/>
              <w:jc w:val="center"/>
              <w:rPr>
                <w:rFonts w:hint="default" w:ascii="Times New Roman" w:hAnsi="Times New Roman" w:eastAsia="宋体" w:cs="Times New Roman"/>
                <w:b/>
                <w:snapToGrid w:val="0"/>
                <w:kern w:val="2"/>
                <w:sz w:val="21"/>
                <w:szCs w:val="24"/>
                <w:lang w:val="en-US" w:eastAsia="zh-CN" w:bidi="ar-SA"/>
              </w:rPr>
            </w:pPr>
            <w:r>
              <w:rPr>
                <w:rFonts w:hint="eastAsia" w:ascii="Times New Roman" w:hAnsi="Times New Roman" w:cs="Times New Roman"/>
                <w:b/>
                <w:snapToGrid w:val="0"/>
                <w:w w:val="98"/>
                <w:kern w:val="2"/>
                <w:sz w:val="21"/>
                <w:szCs w:val="24"/>
                <w:lang w:val="en-US" w:eastAsia="zh-CN" w:bidi="ar-SA"/>
              </w:rPr>
              <w:t>18</w:t>
            </w:r>
          </w:p>
        </w:tc>
        <w:tc>
          <w:tcPr>
            <w:tcW w:w="1594" w:type="dxa"/>
            <w:noWrap w:val="0"/>
            <w:vAlign w:val="center"/>
          </w:tcPr>
          <w:p>
            <w:pPr>
              <w:widowControl w:val="0"/>
              <w:snapToGrid w:val="0"/>
              <w:spacing w:line="400" w:lineRule="exact"/>
              <w:jc w:val="center"/>
              <w:rPr>
                <w:rFonts w:hint="eastAsia" w:ascii="Times New Roman" w:hAnsi="Times New Roman" w:eastAsia="宋体" w:cs="Times New Roman"/>
                <w:b/>
                <w:snapToGrid w:val="0"/>
                <w:kern w:val="2"/>
                <w:sz w:val="21"/>
                <w:szCs w:val="24"/>
                <w:lang w:val="en-US" w:eastAsia="zh-CN" w:bidi="ar-SA"/>
              </w:rPr>
            </w:pPr>
            <w:r>
              <w:rPr>
                <w:rFonts w:hint="eastAsia" w:ascii="Times New Roman" w:hAnsi="Times New Roman" w:eastAsia="宋体" w:cs="Times New Roman"/>
                <w:b/>
                <w:snapToGrid w:val="0"/>
                <w:kern w:val="2"/>
                <w:sz w:val="21"/>
                <w:szCs w:val="24"/>
                <w:lang w:val="en-US" w:eastAsia="zh-CN" w:bidi="ar-SA"/>
              </w:rPr>
              <w:t>裁量条款</w:t>
            </w:r>
          </w:p>
        </w:tc>
        <w:tc>
          <w:tcPr>
            <w:tcW w:w="11689" w:type="dxa"/>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ascii="Times New Roman" w:hAnsi="Times New Roman" w:eastAsia="宋体" w:cs="Times New Roman"/>
                <w:b/>
                <w:snapToGrid w:val="0"/>
                <w:kern w:val="2"/>
                <w:sz w:val="21"/>
                <w:szCs w:val="24"/>
                <w:lang w:val="en-US" w:eastAsia="zh-CN" w:bidi="ar-SA"/>
              </w:rPr>
            </w:pPr>
            <w:r>
              <w:rPr>
                <w:rFonts w:hint="eastAsia" w:ascii="Microsoft JhengHei"/>
                <w:b/>
                <w:sz w:val="21"/>
                <w:lang w:val="en-US" w:eastAsia="zh-CN"/>
              </w:rPr>
              <w:t>第十八条  本条是对《药品网络销售监督管理办法》第三十三条“处10万元以上20万元以下的罚款”裁量基准的规定。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7" w:hRule="atLeast"/>
        </w:trPr>
        <w:tc>
          <w:tcPr>
            <w:tcW w:w="525"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594" w:type="dxa"/>
            <w:noWrap w:val="0"/>
            <w:vAlign w:val="center"/>
          </w:tcPr>
          <w:p>
            <w:pPr>
              <w:widowControl w:val="0"/>
              <w:snapToGrid w:val="0"/>
              <w:spacing w:line="400" w:lineRule="exact"/>
              <w:jc w:val="center"/>
              <w:rPr>
                <w:rFonts w:hint="eastAsia" w:ascii="Times New Roman" w:hAnsi="Times New Roman" w:eastAsia="宋体" w:cs="Times New Roman"/>
                <w:b/>
                <w:snapToGrid w:val="0"/>
                <w:kern w:val="2"/>
                <w:sz w:val="21"/>
                <w:szCs w:val="24"/>
                <w:lang w:val="en-US" w:eastAsia="zh-CN" w:bidi="ar-SA"/>
              </w:rPr>
            </w:pPr>
            <w:r>
              <w:rPr>
                <w:rFonts w:hint="eastAsia" w:ascii="Times New Roman" w:hAnsi="Times New Roman" w:eastAsia="宋体" w:cs="Times New Roman"/>
                <w:b/>
                <w:snapToGrid w:val="0"/>
                <w:kern w:val="2"/>
                <w:sz w:val="21"/>
                <w:szCs w:val="24"/>
                <w:lang w:val="en-US" w:eastAsia="zh-CN" w:bidi="ar-SA"/>
              </w:rPr>
              <w:t>关联法条</w:t>
            </w:r>
          </w:p>
        </w:tc>
        <w:tc>
          <w:tcPr>
            <w:tcW w:w="11689" w:type="dxa"/>
            <w:gridSpan w:val="4"/>
            <w:tcBorders>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ascii="Times New Roman" w:hAnsi="Times New Roman" w:eastAsia="宋体" w:cs="Times New Roman"/>
                <w:snapToGrid w:val="0"/>
                <w:kern w:val="2"/>
                <w:sz w:val="21"/>
                <w:szCs w:val="24"/>
                <w:lang w:val="en-US" w:eastAsia="zh-CN" w:bidi="ar-SA"/>
              </w:rPr>
            </w:pPr>
            <w:r>
              <w:rPr>
                <w:rFonts w:hint="eastAsia"/>
                <w:sz w:val="21"/>
                <w:lang w:val="en-US" w:eastAsia="zh-CN"/>
              </w:rPr>
              <w:t xml:space="preserve">《药品网络销售监督管理办法》第三十三条 </w:t>
            </w:r>
            <w:r>
              <w:rPr>
                <w:rFonts w:hint="eastAsia"/>
                <w:sz w:val="21"/>
                <w:lang w:val="en-US"/>
              </w:rPr>
              <w:t>（详见本基准第十</w:t>
            </w:r>
            <w:r>
              <w:rPr>
                <w:rFonts w:hint="eastAsia"/>
                <w:sz w:val="21"/>
                <w:lang w:val="en-US" w:eastAsia="zh-CN"/>
              </w:rPr>
              <w:t>七</w:t>
            </w:r>
            <w:r>
              <w:rPr>
                <w:rFonts w:hint="eastAsia"/>
                <w:sz w:val="21"/>
                <w:lang w:val="en-US"/>
              </w:rPr>
              <w:t>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525"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594" w:type="dxa"/>
            <w:tcBorders>
              <w:top w:val="single" w:color="000000" w:sz="8" w:space="0"/>
              <w:left w:val="single" w:color="000000" w:sz="8" w:space="0"/>
              <w:bottom w:val="single" w:color="000000" w:sz="8" w:space="0"/>
              <w:right w:val="single" w:color="000000" w:sz="8" w:space="0"/>
            </w:tcBorders>
            <w:noWrap w:val="0"/>
            <w:vAlign w:val="center"/>
          </w:tcPr>
          <w:p>
            <w:pPr>
              <w:widowControl w:val="0"/>
              <w:snapToGrid w:val="0"/>
              <w:spacing w:line="400" w:lineRule="exact"/>
              <w:jc w:val="center"/>
              <w:rPr>
                <w:rFonts w:ascii="Times New Roman" w:hAnsi="Times New Roman" w:eastAsia="Microsoft JhengHei" w:cs="Times New Roman"/>
                <w:b/>
                <w:snapToGrid w:val="0"/>
                <w:kern w:val="2"/>
                <w:sz w:val="21"/>
                <w:szCs w:val="24"/>
                <w:lang w:val="en-US" w:eastAsia="zh-CN" w:bidi="ar-SA"/>
              </w:rPr>
            </w:pPr>
            <w:r>
              <w:rPr>
                <w:rFonts w:hint="eastAsia" w:ascii="Times New Roman" w:hAnsi="Times New Roman" w:eastAsia="Microsoft JhengHei" w:cs="Times New Roman"/>
                <w:b/>
                <w:snapToGrid w:val="0"/>
                <w:kern w:val="2"/>
                <w:sz w:val="21"/>
                <w:szCs w:val="24"/>
                <w:lang w:val="en-US" w:eastAsia="zh-CN" w:bidi="ar-SA"/>
              </w:rPr>
              <w:t>裁量等级</w:t>
            </w:r>
          </w:p>
        </w:tc>
        <w:tc>
          <w:tcPr>
            <w:tcW w:w="2850"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减轻处罚幅度</w:t>
            </w:r>
          </w:p>
        </w:tc>
        <w:tc>
          <w:tcPr>
            <w:tcW w:w="3019"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从轻处罚幅度</w:t>
            </w:r>
          </w:p>
        </w:tc>
        <w:tc>
          <w:tcPr>
            <w:tcW w:w="2962"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一般处罚幅度</w:t>
            </w:r>
          </w:p>
        </w:tc>
        <w:tc>
          <w:tcPr>
            <w:tcW w:w="2858"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525"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594" w:type="dxa"/>
            <w:tcBorders>
              <w:top w:val="single" w:color="000000" w:sz="8" w:space="0"/>
              <w:left w:val="single" w:color="000000" w:sz="8" w:space="0"/>
              <w:bottom w:val="single" w:color="000000" w:sz="8" w:space="0"/>
              <w:right w:val="single" w:color="000000" w:sz="8" w:space="0"/>
            </w:tcBorders>
            <w:noWrap w:val="0"/>
            <w:vAlign w:val="center"/>
          </w:tcPr>
          <w:p>
            <w:pPr>
              <w:widowControl w:val="0"/>
              <w:snapToGrid w:val="0"/>
              <w:spacing w:line="400" w:lineRule="exact"/>
              <w:jc w:val="center"/>
              <w:rPr>
                <w:rFonts w:ascii="Times New Roman" w:hAnsi="Times New Roman" w:eastAsia="Microsoft JhengHei" w:cs="Times New Roman"/>
                <w:b/>
                <w:snapToGrid w:val="0"/>
                <w:color w:val="000000"/>
                <w:kern w:val="2"/>
                <w:sz w:val="21"/>
                <w:szCs w:val="24"/>
                <w:lang w:val="en-US" w:eastAsia="zh-CN" w:bidi="ar-SA"/>
              </w:rPr>
            </w:pPr>
            <w:r>
              <w:rPr>
                <w:rFonts w:hint="eastAsia" w:ascii="Times New Roman" w:hAnsi="Times New Roman" w:eastAsia="Microsoft JhengHei" w:cs="Times New Roman"/>
                <w:b/>
                <w:snapToGrid w:val="0"/>
                <w:color w:val="000000"/>
                <w:kern w:val="2"/>
                <w:sz w:val="21"/>
                <w:szCs w:val="24"/>
                <w:lang w:val="en-US" w:eastAsia="zh-CN" w:bidi="ar-SA"/>
              </w:rPr>
              <w:t>裁量基准</w:t>
            </w:r>
          </w:p>
        </w:tc>
        <w:tc>
          <w:tcPr>
            <w:tcW w:w="2850"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r>
              <w:rPr>
                <w:rFonts w:hint="eastAsia"/>
                <w:sz w:val="21"/>
                <w:lang w:val="en-US" w:eastAsia="zh-CN"/>
              </w:rPr>
              <w:t>符合裁量规则减轻行政处罚情形的，处10万元以下的罚款。</w:t>
            </w:r>
          </w:p>
        </w:tc>
        <w:tc>
          <w:tcPr>
            <w:tcW w:w="3019"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从轻行政处罚，处10万元至13万元的罚款。</w:t>
            </w:r>
          </w:p>
        </w:tc>
        <w:tc>
          <w:tcPr>
            <w:tcW w:w="2962"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r>
              <w:rPr>
                <w:rFonts w:hint="eastAsia"/>
                <w:sz w:val="21"/>
                <w:lang w:val="en-US" w:eastAsia="zh-CN"/>
              </w:rPr>
              <w:t>一般行政处罚，处13万元以上17万元以下的罚款。</w:t>
            </w:r>
          </w:p>
        </w:tc>
        <w:tc>
          <w:tcPr>
            <w:tcW w:w="2858"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从重行政处罚，处17万元至20万元的罚款。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0" w:hRule="atLeast"/>
        </w:trPr>
        <w:tc>
          <w:tcPr>
            <w:tcW w:w="525" w:type="dxa"/>
            <w:vMerge w:val="continue"/>
            <w:tcBorders>
              <w:right w:val="single" w:color="000000" w:sz="8" w:space="0"/>
            </w:tcBorders>
            <w:noWrap w:val="0"/>
            <w:vAlign w:val="center"/>
          </w:tcPr>
          <w:p>
            <w:pPr>
              <w:autoSpaceDE/>
              <w:autoSpaceDN/>
              <w:snapToGrid w:val="0"/>
              <w:spacing w:line="400" w:lineRule="exact"/>
              <w:jc w:val="both"/>
              <w:rPr>
                <w:rFonts w:ascii="Times New Roman" w:hAnsi="Times New Roman" w:cs="Times New Roman"/>
                <w:snapToGrid w:val="0"/>
                <w:kern w:val="2"/>
                <w:sz w:val="2"/>
                <w:szCs w:val="2"/>
                <w:lang w:val="en-US" w:bidi="ar-SA"/>
              </w:rPr>
            </w:pPr>
          </w:p>
        </w:tc>
        <w:tc>
          <w:tcPr>
            <w:tcW w:w="1594" w:type="dxa"/>
            <w:tcBorders>
              <w:top w:val="single" w:color="000000" w:sz="8" w:space="0"/>
              <w:left w:val="single" w:color="000000" w:sz="8" w:space="0"/>
              <w:bottom w:val="single" w:color="000000" w:sz="8"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80" w:lineRule="exact"/>
              <w:jc w:val="both"/>
              <w:textAlignment w:val="auto"/>
              <w:rPr>
                <w:rFonts w:hint="eastAsia" w:ascii="Times New Roman" w:hAnsi="Times New Roman" w:eastAsia="宋体" w:cs="Times New Roman"/>
                <w:snapToGrid w:val="0"/>
                <w:kern w:val="2"/>
                <w:sz w:val="21"/>
                <w:szCs w:val="24"/>
                <w:lang w:val="en-US" w:eastAsia="zh-CN" w:bidi="ar-SA"/>
              </w:rPr>
            </w:pPr>
            <w:r>
              <w:rPr>
                <w:rFonts w:hint="eastAsia" w:ascii="Times New Roman" w:hAnsi="Times New Roman" w:eastAsia="Microsoft JhengHei" w:cs="Times New Roman"/>
                <w:b/>
                <w:snapToGrid w:val="0"/>
                <w:kern w:val="2"/>
                <w:sz w:val="21"/>
                <w:szCs w:val="24"/>
                <w:lang w:val="en-US" w:eastAsia="zh-CN" w:bidi="ar-SA"/>
              </w:rPr>
              <w:t>裁量因素</w:t>
            </w:r>
            <w:r>
              <w:rPr>
                <w:rFonts w:hint="eastAsia" w:ascii="Times New Roman" w:hAnsi="Times New Roman" w:eastAsia="Microsoft JhengHei" w:cs="Times New Roman"/>
                <w:bCs/>
                <w:snapToGrid w:val="0"/>
                <w:kern w:val="2"/>
                <w:sz w:val="21"/>
                <w:szCs w:val="24"/>
                <w:lang w:val="en-US" w:eastAsia="zh-CN" w:bidi="ar-SA"/>
              </w:rPr>
              <w:t>（是指在进行裁量时，除裁量规则规定的从轻、减轻、从重情形外，可以考虑的因素）</w:t>
            </w:r>
          </w:p>
        </w:tc>
        <w:tc>
          <w:tcPr>
            <w:tcW w:w="11689" w:type="dxa"/>
            <w:gridSpan w:val="4"/>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right="0"/>
              <w:jc w:val="left"/>
              <w:textAlignment w:val="auto"/>
              <w:rPr>
                <w:rFonts w:hint="default" w:ascii="Times New Roman" w:hAnsi="Times New Roman" w:cs="宋体"/>
                <w:b w:val="0"/>
                <w:bCs w:val="0"/>
                <w:snapToGrid w:val="0"/>
                <w:color w:val="000000"/>
                <w:kern w:val="0"/>
                <w:sz w:val="21"/>
                <w:szCs w:val="21"/>
                <w:lang w:val="zh-CN" w:eastAsia="zh-CN" w:bidi="ar"/>
              </w:rPr>
            </w:pPr>
            <w:r>
              <w:rPr>
                <w:rFonts w:hint="eastAsia" w:ascii="宋体" w:hAnsi="宋体" w:eastAsia="宋体" w:cs="宋体"/>
                <w:b/>
                <w:bCs/>
                <w:snapToGrid w:val="0"/>
                <w:color w:val="000000"/>
                <w:kern w:val="0"/>
                <w:sz w:val="21"/>
                <w:szCs w:val="21"/>
                <w:lang w:val="en-US" w:eastAsia="zh-CN" w:bidi="ar"/>
              </w:rPr>
              <w:t>从轻处罚考虑因素：</w:t>
            </w:r>
            <w:r>
              <w:rPr>
                <w:rFonts w:hint="eastAsia" w:ascii="Times New Roman" w:hAnsi="Times New Roman" w:cs="宋体"/>
                <w:b w:val="0"/>
                <w:bCs w:val="0"/>
                <w:snapToGrid w:val="0"/>
                <w:color w:val="000000"/>
                <w:kern w:val="0"/>
                <w:sz w:val="21"/>
                <w:szCs w:val="21"/>
                <w:lang w:val="zh-CN" w:eastAsia="zh-CN" w:bidi="ar"/>
              </w:rPr>
              <w:t>产品单一、数量较小，造成轻微危害后果</w:t>
            </w:r>
            <w:r>
              <w:rPr>
                <w:rFonts w:hint="default" w:ascii="Times New Roman" w:hAnsi="Times New Roman" w:cs="宋体"/>
                <w:b w:val="0"/>
                <w:bCs w:val="0"/>
                <w:snapToGrid w:val="0"/>
                <w:color w:val="000000"/>
                <w:kern w:val="0"/>
                <w:sz w:val="21"/>
                <w:szCs w:val="21"/>
                <w:lang w:val="zh-CN" w:eastAsia="zh-CN" w:bidi="ar"/>
              </w:rPr>
              <w:t>。</w:t>
            </w:r>
          </w:p>
          <w:p>
            <w:pPr>
              <w:keepNext w:val="0"/>
              <w:keepLines w:val="0"/>
              <w:pageBreakBefore w:val="0"/>
              <w:widowControl w:val="0"/>
              <w:kinsoku/>
              <w:wordWrap/>
              <w:overflowPunct/>
              <w:topLinePunct w:val="0"/>
              <w:autoSpaceDE w:val="0"/>
              <w:autoSpaceDN w:val="0"/>
              <w:bidi w:val="0"/>
              <w:adjustRightInd/>
              <w:snapToGrid/>
              <w:spacing w:line="240" w:lineRule="auto"/>
              <w:ind w:right="0" w:rightChars="0"/>
              <w:jc w:val="both"/>
              <w:textAlignment w:val="auto"/>
              <w:rPr>
                <w:rFonts w:hint="eastAsia" w:ascii="Times New Roman" w:hAnsi="Times New Roman" w:eastAsia="宋体" w:cs="Times New Roman"/>
                <w:snapToGrid w:val="0"/>
                <w:kern w:val="2"/>
                <w:sz w:val="21"/>
                <w:szCs w:val="24"/>
                <w:lang w:val="en-US" w:eastAsia="zh-CN" w:bidi="ar-SA"/>
              </w:rPr>
            </w:pPr>
            <w:r>
              <w:rPr>
                <w:rFonts w:hint="eastAsia" w:ascii="宋体" w:hAnsi="宋体" w:eastAsia="宋体" w:cs="宋体"/>
                <w:b/>
                <w:bCs/>
                <w:snapToGrid w:val="0"/>
                <w:color w:val="000000"/>
                <w:kern w:val="0"/>
                <w:sz w:val="21"/>
                <w:szCs w:val="21"/>
                <w:lang w:val="en-US" w:eastAsia="zh-CN" w:bidi="ar"/>
              </w:rPr>
              <w:t>从重处罚考虑因素：</w:t>
            </w:r>
            <w:r>
              <w:rPr>
                <w:rFonts w:hint="eastAsia" w:ascii="Times New Roman" w:hAnsi="Times New Roman" w:eastAsia="宋体" w:cs="宋体"/>
                <w:b w:val="0"/>
                <w:bCs w:val="0"/>
                <w:snapToGrid w:val="0"/>
                <w:color w:val="000000"/>
                <w:kern w:val="0"/>
                <w:sz w:val="21"/>
                <w:szCs w:val="21"/>
                <w:lang w:val="zh-CN" w:eastAsia="zh-CN" w:bidi="ar"/>
              </w:rPr>
              <w:t>两个以上产品，涉案产品数量较大，造成严重危害后果和不良影响。</w:t>
            </w:r>
          </w:p>
        </w:tc>
      </w:tr>
    </w:tbl>
    <w:p>
      <w:pPr>
        <w:pStyle w:val="11"/>
        <w:keepNext w:val="0"/>
        <w:keepLines w:val="0"/>
        <w:pageBreakBefore w:val="0"/>
        <w:widowControl w:val="0"/>
        <w:kinsoku/>
        <w:wordWrap/>
        <w:overflowPunct/>
        <w:topLinePunct w:val="0"/>
        <w:autoSpaceDE w:val="0"/>
        <w:autoSpaceDN w:val="0"/>
        <w:bidi w:val="0"/>
        <w:adjustRightInd/>
        <w:snapToGrid/>
        <w:spacing w:line="240" w:lineRule="auto"/>
        <w:ind w:right="0" w:firstLine="421" w:firstLineChars="200"/>
        <w:jc w:val="both"/>
        <w:textAlignment w:val="auto"/>
        <w:rPr>
          <w:rFonts w:hint="eastAsia" w:ascii="Microsoft JhengHei"/>
          <w:b/>
          <w:sz w:val="21"/>
          <w:lang w:val="en-US" w:eastAsia="zh-CN"/>
        </w:rPr>
        <w:sectPr>
          <w:pgSz w:w="16838" w:h="11906" w:orient="landscape"/>
          <w:pgMar w:top="1800" w:right="1440" w:bottom="1800" w:left="1440" w:header="851" w:footer="992" w:gutter="0"/>
          <w:pgNumType w:fmt="decimal"/>
          <w:cols w:space="720" w:num="1"/>
          <w:docGrid w:type="lines" w:linePitch="312" w:charSpace="0"/>
        </w:sectPr>
      </w:pPr>
    </w:p>
    <w:tbl>
      <w:tblPr>
        <w:tblStyle w:val="8"/>
        <w:tblpPr w:leftFromText="180" w:rightFromText="180" w:vertAnchor="page" w:horzAnchor="page" w:tblpX="1549" w:tblpY="2436"/>
        <w:tblOverlap w:val="never"/>
        <w:tblW w:w="138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5"/>
        <w:gridCol w:w="1613"/>
        <w:gridCol w:w="2831"/>
        <w:gridCol w:w="3038"/>
        <w:gridCol w:w="2981"/>
        <w:gridCol w:w="28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25" w:type="dxa"/>
            <w:vMerge w:val="restart"/>
            <w:tcBorders>
              <w:top w:val="single" w:color="auto" w:sz="4" w:space="0"/>
              <w:bottom w:val="nil"/>
              <w:right w:val="single" w:color="000000" w:sz="8" w:space="0"/>
            </w:tcBorders>
            <w:noWrap w:val="0"/>
            <w:vAlign w:val="center"/>
          </w:tcPr>
          <w:p>
            <w:pPr>
              <w:widowControl w:val="0"/>
              <w:snapToGrid w:val="0"/>
              <w:spacing w:line="400" w:lineRule="exact"/>
              <w:jc w:val="center"/>
              <w:rPr>
                <w:rFonts w:hint="default" w:ascii="Times New Roman" w:hAnsi="Times New Roman" w:eastAsia="宋体" w:cs="Times New Roman"/>
                <w:b/>
                <w:snapToGrid w:val="0"/>
                <w:kern w:val="2"/>
                <w:sz w:val="21"/>
                <w:szCs w:val="24"/>
                <w:lang w:val="en-US" w:eastAsia="zh-CN" w:bidi="ar-SA"/>
              </w:rPr>
            </w:pPr>
            <w:r>
              <w:rPr>
                <w:rFonts w:hint="eastAsia" w:ascii="Times New Roman" w:hAnsi="Times New Roman" w:cs="Times New Roman"/>
                <w:b/>
                <w:snapToGrid w:val="0"/>
                <w:kern w:val="2"/>
                <w:sz w:val="21"/>
                <w:szCs w:val="24"/>
                <w:lang w:val="en-US" w:eastAsia="zh-CN" w:bidi="ar-SA"/>
              </w:rPr>
              <w:t>19</w:t>
            </w:r>
          </w:p>
        </w:tc>
        <w:tc>
          <w:tcPr>
            <w:tcW w:w="1613" w:type="dxa"/>
            <w:noWrap w:val="0"/>
            <w:vAlign w:val="center"/>
          </w:tcPr>
          <w:p>
            <w:pPr>
              <w:widowControl w:val="0"/>
              <w:snapToGrid w:val="0"/>
              <w:spacing w:line="400" w:lineRule="exact"/>
              <w:jc w:val="center"/>
              <w:rPr>
                <w:rFonts w:hint="eastAsia" w:ascii="Times New Roman" w:hAnsi="Times New Roman" w:eastAsia="宋体" w:cs="Times New Roman"/>
                <w:b/>
                <w:snapToGrid w:val="0"/>
                <w:kern w:val="2"/>
                <w:sz w:val="21"/>
                <w:szCs w:val="24"/>
                <w:lang w:val="en-US" w:eastAsia="zh-CN" w:bidi="ar-SA"/>
              </w:rPr>
            </w:pPr>
            <w:r>
              <w:rPr>
                <w:rFonts w:hint="eastAsia" w:ascii="Times New Roman" w:hAnsi="Times New Roman" w:eastAsia="宋体" w:cs="Times New Roman"/>
                <w:b/>
                <w:snapToGrid w:val="0"/>
                <w:kern w:val="2"/>
                <w:sz w:val="21"/>
                <w:szCs w:val="24"/>
                <w:lang w:val="en-US" w:eastAsia="zh-CN" w:bidi="ar-SA"/>
              </w:rPr>
              <w:t>裁量条款</w:t>
            </w:r>
          </w:p>
        </w:tc>
        <w:tc>
          <w:tcPr>
            <w:tcW w:w="11689" w:type="dxa"/>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ascii="Times New Roman" w:hAnsi="Times New Roman" w:eastAsia="宋体" w:cs="Times New Roman"/>
                <w:b/>
                <w:snapToGrid w:val="0"/>
                <w:kern w:val="2"/>
                <w:sz w:val="21"/>
                <w:szCs w:val="24"/>
                <w:lang w:val="en-US" w:eastAsia="zh-CN" w:bidi="ar-SA"/>
              </w:rPr>
            </w:pPr>
            <w:r>
              <w:rPr>
                <w:rFonts w:hint="eastAsia" w:ascii="Microsoft JhengHei"/>
                <w:b/>
                <w:sz w:val="21"/>
                <w:lang w:val="en-US" w:eastAsia="zh-CN"/>
              </w:rPr>
              <w:t>第十九条  本条是对《药品网络销售监督管理办法》第三十四条第一款“处3万元以上5万元以下的罚款”裁量基准的规定。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2" w:hRule="atLeast"/>
        </w:trPr>
        <w:tc>
          <w:tcPr>
            <w:tcW w:w="525"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613" w:type="dxa"/>
            <w:noWrap w:val="0"/>
            <w:vAlign w:val="center"/>
          </w:tcPr>
          <w:p>
            <w:pPr>
              <w:widowControl w:val="0"/>
              <w:snapToGrid w:val="0"/>
              <w:spacing w:line="400" w:lineRule="exact"/>
              <w:jc w:val="center"/>
              <w:rPr>
                <w:rFonts w:hint="eastAsia" w:ascii="Times New Roman" w:hAnsi="Times New Roman" w:eastAsia="宋体" w:cs="Times New Roman"/>
                <w:b/>
                <w:snapToGrid w:val="0"/>
                <w:kern w:val="2"/>
                <w:sz w:val="21"/>
                <w:szCs w:val="24"/>
                <w:lang w:val="en-US" w:eastAsia="zh-CN" w:bidi="ar-SA"/>
              </w:rPr>
            </w:pPr>
            <w:r>
              <w:rPr>
                <w:rFonts w:hint="eastAsia" w:ascii="Times New Roman" w:hAnsi="Times New Roman" w:eastAsia="宋体" w:cs="Times New Roman"/>
                <w:b/>
                <w:snapToGrid w:val="0"/>
                <w:kern w:val="2"/>
                <w:sz w:val="21"/>
                <w:szCs w:val="24"/>
                <w:lang w:val="en-US" w:eastAsia="zh-CN" w:bidi="ar-SA"/>
              </w:rPr>
              <w:t>关联法条</w:t>
            </w:r>
          </w:p>
        </w:tc>
        <w:tc>
          <w:tcPr>
            <w:tcW w:w="11689" w:type="dxa"/>
            <w:gridSpan w:val="4"/>
            <w:tcBorders>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eastAsia"/>
                <w:sz w:val="21"/>
                <w:lang w:val="en-US" w:eastAsia="zh-CN"/>
              </w:rPr>
            </w:pPr>
            <w:r>
              <w:rPr>
                <w:rFonts w:hint="eastAsia"/>
                <w:sz w:val="21"/>
                <w:lang w:val="en-US" w:eastAsia="zh-CN"/>
              </w:rPr>
              <w:t>《药品网络销售监督管理办法》第三十四条第一款 违反本办法第九条第一款、第二款的规定，责令限期改正，处3万元以上5万元以下罚款；情节严重的，处5万元以上10万元以下罚款。</w:t>
            </w:r>
          </w:p>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eastAsia"/>
                <w:sz w:val="21"/>
                <w:lang w:val="en-US" w:eastAsia="zh-CN"/>
              </w:rPr>
            </w:pPr>
            <w:r>
              <w:rPr>
                <w:rFonts w:hint="eastAsia"/>
                <w:sz w:val="21"/>
                <w:lang w:val="en-US" w:eastAsia="zh-CN"/>
              </w:rPr>
              <w:t>《药品网络销售监督管理办法》第九条第一款 通过网络向个人销售处方药的，应当确保处方来源真实、可靠，并实行实名制。</w:t>
            </w:r>
          </w:p>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ascii="Times New Roman" w:hAnsi="Times New Roman" w:eastAsia="宋体" w:cs="Times New Roman"/>
                <w:snapToGrid w:val="0"/>
                <w:kern w:val="2"/>
                <w:sz w:val="21"/>
                <w:szCs w:val="24"/>
                <w:lang w:val="en-US" w:eastAsia="zh-CN" w:bidi="ar-SA"/>
              </w:rPr>
            </w:pPr>
            <w:r>
              <w:rPr>
                <w:rFonts w:hint="eastAsia"/>
                <w:sz w:val="21"/>
                <w:lang w:val="en-US" w:eastAsia="zh-CN"/>
              </w:rPr>
              <w:t>《药品网络销售监督管理办法》第九条第二款 药品网络零售企业应当与电子处方提供单位签订协议，并严格按照有关规定进行处方审核调配，对已经使用的电子处方进行标记，避免处方重复使用。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525"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613" w:type="dxa"/>
            <w:tcBorders>
              <w:top w:val="single" w:color="000000" w:sz="8" w:space="0"/>
              <w:left w:val="single" w:color="000000" w:sz="8" w:space="0"/>
              <w:bottom w:val="single" w:color="000000" w:sz="8" w:space="0"/>
              <w:right w:val="single" w:color="000000" w:sz="8" w:space="0"/>
            </w:tcBorders>
            <w:noWrap w:val="0"/>
            <w:vAlign w:val="center"/>
          </w:tcPr>
          <w:p>
            <w:pPr>
              <w:widowControl w:val="0"/>
              <w:snapToGrid w:val="0"/>
              <w:spacing w:line="400" w:lineRule="exact"/>
              <w:jc w:val="center"/>
              <w:rPr>
                <w:rFonts w:ascii="Times New Roman" w:hAnsi="Times New Roman" w:eastAsia="Microsoft JhengHei" w:cs="Times New Roman"/>
                <w:b/>
                <w:snapToGrid w:val="0"/>
                <w:kern w:val="2"/>
                <w:sz w:val="21"/>
                <w:szCs w:val="24"/>
                <w:lang w:val="en-US" w:eastAsia="zh-CN" w:bidi="ar-SA"/>
              </w:rPr>
            </w:pPr>
            <w:r>
              <w:rPr>
                <w:rFonts w:hint="eastAsia" w:ascii="Times New Roman" w:hAnsi="Times New Roman" w:eastAsia="Microsoft JhengHei" w:cs="Times New Roman"/>
                <w:b/>
                <w:snapToGrid w:val="0"/>
                <w:kern w:val="2"/>
                <w:sz w:val="21"/>
                <w:szCs w:val="24"/>
                <w:lang w:val="en-US" w:eastAsia="zh-CN" w:bidi="ar-SA"/>
              </w:rPr>
              <w:t>裁量等级</w:t>
            </w:r>
          </w:p>
        </w:tc>
        <w:tc>
          <w:tcPr>
            <w:tcW w:w="2831"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减轻处罚幅度</w:t>
            </w:r>
          </w:p>
        </w:tc>
        <w:tc>
          <w:tcPr>
            <w:tcW w:w="3038"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从轻处罚幅度</w:t>
            </w:r>
          </w:p>
        </w:tc>
        <w:tc>
          <w:tcPr>
            <w:tcW w:w="2981"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一般处罚幅度</w:t>
            </w:r>
          </w:p>
        </w:tc>
        <w:tc>
          <w:tcPr>
            <w:tcW w:w="2839"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525"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613" w:type="dxa"/>
            <w:tcBorders>
              <w:top w:val="single" w:color="000000" w:sz="8" w:space="0"/>
              <w:left w:val="single" w:color="000000" w:sz="8" w:space="0"/>
              <w:bottom w:val="single" w:color="000000" w:sz="8" w:space="0"/>
              <w:right w:val="single" w:color="000000" w:sz="8" w:space="0"/>
            </w:tcBorders>
            <w:noWrap w:val="0"/>
            <w:vAlign w:val="center"/>
          </w:tcPr>
          <w:p>
            <w:pPr>
              <w:widowControl w:val="0"/>
              <w:snapToGrid w:val="0"/>
              <w:spacing w:line="400" w:lineRule="exact"/>
              <w:jc w:val="center"/>
              <w:rPr>
                <w:rFonts w:ascii="Times New Roman" w:hAnsi="Times New Roman" w:eastAsia="Microsoft JhengHei" w:cs="Times New Roman"/>
                <w:b/>
                <w:snapToGrid w:val="0"/>
                <w:color w:val="000000"/>
                <w:kern w:val="2"/>
                <w:sz w:val="21"/>
                <w:szCs w:val="24"/>
                <w:lang w:val="en-US" w:eastAsia="zh-CN" w:bidi="ar-SA"/>
              </w:rPr>
            </w:pPr>
            <w:r>
              <w:rPr>
                <w:rFonts w:hint="eastAsia" w:ascii="Times New Roman" w:hAnsi="Times New Roman" w:eastAsia="Microsoft JhengHei" w:cs="Times New Roman"/>
                <w:b/>
                <w:snapToGrid w:val="0"/>
                <w:color w:val="000000"/>
                <w:kern w:val="2"/>
                <w:sz w:val="21"/>
                <w:szCs w:val="24"/>
                <w:lang w:val="en-US" w:eastAsia="zh-CN" w:bidi="ar-SA"/>
              </w:rPr>
              <w:t>裁量基准</w:t>
            </w:r>
          </w:p>
        </w:tc>
        <w:tc>
          <w:tcPr>
            <w:tcW w:w="2831"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r>
              <w:rPr>
                <w:rFonts w:hint="eastAsia"/>
                <w:sz w:val="21"/>
                <w:lang w:val="en-US" w:eastAsia="zh-CN"/>
              </w:rPr>
              <w:t>符合裁量规则减轻行政处罚情形的，处3万元以下的罚款。</w:t>
            </w:r>
          </w:p>
        </w:tc>
        <w:tc>
          <w:tcPr>
            <w:tcW w:w="3038"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从轻行政处罚，处3万元至3.6万元的罚款。</w:t>
            </w:r>
          </w:p>
        </w:tc>
        <w:tc>
          <w:tcPr>
            <w:tcW w:w="2981"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r>
              <w:rPr>
                <w:rFonts w:hint="eastAsia"/>
                <w:sz w:val="21"/>
                <w:lang w:val="en-US" w:eastAsia="zh-CN"/>
              </w:rPr>
              <w:t>一般行政处罚，处3.6万元以上4.4万元以下的罚款。</w:t>
            </w:r>
          </w:p>
        </w:tc>
        <w:tc>
          <w:tcPr>
            <w:tcW w:w="2839"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从重行政处罚，处4.4万元至5万元的罚款。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525" w:type="dxa"/>
            <w:vMerge w:val="continue"/>
            <w:tcBorders>
              <w:right w:val="single" w:color="000000" w:sz="8" w:space="0"/>
            </w:tcBorders>
            <w:noWrap w:val="0"/>
            <w:vAlign w:val="center"/>
          </w:tcPr>
          <w:p>
            <w:pPr>
              <w:autoSpaceDE/>
              <w:autoSpaceDN/>
              <w:snapToGrid w:val="0"/>
              <w:spacing w:line="400" w:lineRule="exact"/>
              <w:jc w:val="both"/>
              <w:rPr>
                <w:rFonts w:ascii="Times New Roman" w:hAnsi="Times New Roman" w:cs="Times New Roman"/>
                <w:snapToGrid w:val="0"/>
                <w:kern w:val="2"/>
                <w:sz w:val="2"/>
                <w:szCs w:val="2"/>
                <w:lang w:val="en-US" w:bidi="ar-SA"/>
              </w:rPr>
            </w:pPr>
          </w:p>
        </w:tc>
        <w:tc>
          <w:tcPr>
            <w:tcW w:w="1613" w:type="dxa"/>
            <w:tcBorders>
              <w:top w:val="single" w:color="000000" w:sz="8" w:space="0"/>
              <w:left w:val="single" w:color="000000" w:sz="8"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80" w:lineRule="exact"/>
              <w:jc w:val="both"/>
              <w:textAlignment w:val="auto"/>
              <w:rPr>
                <w:rFonts w:hint="eastAsia" w:ascii="Times New Roman" w:hAnsi="Times New Roman" w:eastAsia="宋体" w:cs="Times New Roman"/>
                <w:snapToGrid w:val="0"/>
                <w:kern w:val="2"/>
                <w:sz w:val="21"/>
                <w:szCs w:val="24"/>
                <w:lang w:val="en-US" w:eastAsia="zh-CN" w:bidi="ar-SA"/>
              </w:rPr>
            </w:pPr>
            <w:r>
              <w:rPr>
                <w:rFonts w:hint="eastAsia" w:ascii="Times New Roman" w:hAnsi="Times New Roman" w:eastAsia="Microsoft JhengHei" w:cs="Times New Roman"/>
                <w:b/>
                <w:snapToGrid w:val="0"/>
                <w:kern w:val="2"/>
                <w:sz w:val="21"/>
                <w:szCs w:val="24"/>
                <w:lang w:val="en-US" w:eastAsia="zh-CN" w:bidi="ar-SA"/>
              </w:rPr>
              <w:t>裁量因素</w:t>
            </w:r>
            <w:r>
              <w:rPr>
                <w:rFonts w:hint="eastAsia" w:ascii="Times New Roman" w:hAnsi="Times New Roman" w:eastAsia="Microsoft JhengHei" w:cs="Times New Roman"/>
                <w:bCs/>
                <w:snapToGrid w:val="0"/>
                <w:kern w:val="2"/>
                <w:sz w:val="21"/>
                <w:szCs w:val="24"/>
                <w:lang w:val="en-US" w:eastAsia="zh-CN" w:bidi="ar-SA"/>
              </w:rPr>
              <w:t>（是指在进行裁量时，除裁量规则规定的从轻、减轻、从重情形外，可以考虑的因素）</w:t>
            </w:r>
          </w:p>
        </w:tc>
        <w:tc>
          <w:tcPr>
            <w:tcW w:w="11689" w:type="dxa"/>
            <w:gridSpan w:val="4"/>
            <w:tcBorders>
              <w:top w:val="single" w:color="000000" w:sz="8" w:space="0"/>
              <w:left w:val="single" w:color="auto" w:sz="4" w:space="0"/>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right="0"/>
              <w:jc w:val="left"/>
              <w:textAlignment w:val="auto"/>
              <w:rPr>
                <w:rFonts w:hint="eastAsia" w:ascii="宋体" w:hAnsi="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从轻处罚考虑因素</w:t>
            </w:r>
            <w:r>
              <w:rPr>
                <w:rFonts w:hint="eastAsia" w:ascii="宋体" w:hAnsi="宋体" w:eastAsia="宋体" w:cs="宋体"/>
                <w:b w:val="0"/>
                <w:bCs w:val="0"/>
                <w:snapToGrid w:val="0"/>
                <w:color w:val="000000"/>
                <w:kern w:val="0"/>
                <w:sz w:val="21"/>
                <w:szCs w:val="21"/>
                <w:lang w:val="en-US" w:eastAsia="zh-CN" w:bidi="ar"/>
              </w:rPr>
              <w:t>：</w:t>
            </w:r>
            <w:r>
              <w:rPr>
                <w:rFonts w:hint="eastAsia" w:ascii="宋体" w:hAnsi="宋体" w:cs="宋体"/>
                <w:b w:val="0"/>
                <w:bCs w:val="0"/>
                <w:snapToGrid w:val="0"/>
                <w:color w:val="000000"/>
                <w:kern w:val="0"/>
                <w:sz w:val="21"/>
                <w:szCs w:val="21"/>
                <w:lang w:val="en-US" w:eastAsia="zh-CN" w:bidi="ar"/>
              </w:rPr>
              <w:t>违法行为持续时间小于3个月且销售处方药数量、金额较小未造成危害后果。</w:t>
            </w:r>
          </w:p>
        </w:tc>
      </w:tr>
    </w:tbl>
    <w:p>
      <w:pPr>
        <w:pStyle w:val="11"/>
        <w:keepNext w:val="0"/>
        <w:keepLines w:val="0"/>
        <w:pageBreakBefore w:val="0"/>
        <w:widowControl w:val="0"/>
        <w:kinsoku/>
        <w:wordWrap/>
        <w:overflowPunct/>
        <w:topLinePunct w:val="0"/>
        <w:autoSpaceDE w:val="0"/>
        <w:autoSpaceDN w:val="0"/>
        <w:bidi w:val="0"/>
        <w:adjustRightInd/>
        <w:snapToGrid/>
        <w:spacing w:line="240" w:lineRule="auto"/>
        <w:ind w:right="0" w:firstLine="421" w:firstLineChars="200"/>
        <w:jc w:val="both"/>
        <w:textAlignment w:val="auto"/>
        <w:rPr>
          <w:rFonts w:hint="eastAsia" w:ascii="Microsoft JhengHei"/>
          <w:b/>
          <w:sz w:val="21"/>
          <w:lang w:val="en-US" w:eastAsia="zh-CN"/>
        </w:rPr>
        <w:sectPr>
          <w:pgSz w:w="16838" w:h="11906" w:orient="landscape"/>
          <w:pgMar w:top="1800" w:right="1440" w:bottom="1800" w:left="1440" w:header="851" w:footer="992" w:gutter="0"/>
          <w:pgNumType w:fmt="decimal"/>
          <w:cols w:space="720" w:num="1"/>
          <w:docGrid w:type="lines" w:linePitch="312" w:charSpace="0"/>
        </w:sectPr>
      </w:pPr>
    </w:p>
    <w:tbl>
      <w:tblPr>
        <w:tblStyle w:val="8"/>
        <w:tblpPr w:leftFromText="180" w:rightFromText="180" w:vertAnchor="page" w:horzAnchor="page" w:tblpX="1549" w:tblpY="2343"/>
        <w:tblOverlap w:val="never"/>
        <w:tblW w:w="139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5"/>
        <w:gridCol w:w="1613"/>
        <w:gridCol w:w="2711"/>
        <w:gridCol w:w="3072"/>
        <w:gridCol w:w="2937"/>
        <w:gridCol w:w="3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25" w:type="dxa"/>
            <w:vMerge w:val="restart"/>
            <w:tcBorders>
              <w:top w:val="single" w:color="auto" w:sz="4" w:space="0"/>
              <w:bottom w:val="nil"/>
              <w:right w:val="single" w:color="000000" w:sz="8" w:space="0"/>
            </w:tcBorders>
            <w:noWrap w:val="0"/>
            <w:vAlign w:val="center"/>
          </w:tcPr>
          <w:p>
            <w:pPr>
              <w:widowControl w:val="0"/>
              <w:snapToGrid w:val="0"/>
              <w:spacing w:line="400" w:lineRule="exact"/>
              <w:jc w:val="center"/>
              <w:rPr>
                <w:rFonts w:hint="default" w:ascii="Times New Roman" w:hAnsi="Times New Roman" w:eastAsia="宋体" w:cs="Times New Roman"/>
                <w:b/>
                <w:snapToGrid w:val="0"/>
                <w:kern w:val="2"/>
                <w:sz w:val="21"/>
                <w:szCs w:val="24"/>
                <w:lang w:val="en-US" w:eastAsia="zh-CN" w:bidi="ar-SA"/>
              </w:rPr>
            </w:pPr>
            <w:r>
              <w:rPr>
                <w:rFonts w:hint="eastAsia" w:ascii="Times New Roman" w:hAnsi="Times New Roman" w:cs="Times New Roman"/>
                <w:b/>
                <w:snapToGrid w:val="0"/>
                <w:kern w:val="2"/>
                <w:sz w:val="21"/>
                <w:szCs w:val="24"/>
                <w:lang w:val="en-US" w:eastAsia="zh-CN" w:bidi="ar-SA"/>
              </w:rPr>
              <w:t>20</w:t>
            </w:r>
          </w:p>
        </w:tc>
        <w:tc>
          <w:tcPr>
            <w:tcW w:w="1613" w:type="dxa"/>
            <w:noWrap w:val="0"/>
            <w:vAlign w:val="center"/>
          </w:tcPr>
          <w:p>
            <w:pPr>
              <w:widowControl w:val="0"/>
              <w:snapToGrid w:val="0"/>
              <w:spacing w:line="400" w:lineRule="exact"/>
              <w:jc w:val="center"/>
              <w:rPr>
                <w:rFonts w:hint="eastAsia" w:ascii="Times New Roman" w:hAnsi="Times New Roman" w:eastAsia="宋体" w:cs="Times New Roman"/>
                <w:b/>
                <w:snapToGrid w:val="0"/>
                <w:kern w:val="2"/>
                <w:sz w:val="21"/>
                <w:szCs w:val="24"/>
                <w:lang w:val="en-US" w:eastAsia="zh-CN" w:bidi="ar-SA"/>
              </w:rPr>
            </w:pPr>
            <w:r>
              <w:rPr>
                <w:rFonts w:hint="eastAsia" w:ascii="Times New Roman" w:hAnsi="Times New Roman" w:eastAsia="宋体" w:cs="Times New Roman"/>
                <w:b/>
                <w:snapToGrid w:val="0"/>
                <w:kern w:val="2"/>
                <w:sz w:val="21"/>
                <w:szCs w:val="24"/>
                <w:lang w:val="en-US" w:eastAsia="zh-CN" w:bidi="ar-SA"/>
              </w:rPr>
              <w:t>裁量条款</w:t>
            </w:r>
          </w:p>
        </w:tc>
        <w:tc>
          <w:tcPr>
            <w:tcW w:w="11773" w:type="dxa"/>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ascii="Times New Roman" w:hAnsi="Times New Roman" w:eastAsia="宋体" w:cs="Times New Roman"/>
                <w:b/>
                <w:snapToGrid w:val="0"/>
                <w:kern w:val="2"/>
                <w:sz w:val="21"/>
                <w:szCs w:val="24"/>
                <w:lang w:val="en-US" w:eastAsia="zh-CN" w:bidi="ar-SA"/>
              </w:rPr>
            </w:pPr>
            <w:r>
              <w:rPr>
                <w:rFonts w:hint="eastAsia" w:ascii="Microsoft JhengHei"/>
                <w:b/>
                <w:sz w:val="21"/>
                <w:lang w:val="en-US" w:eastAsia="zh-CN"/>
              </w:rPr>
              <w:t>第二十条  本条是对《药品网络销售监督管理办法》第三十四条第一款“处5万元以上10万元以下的罚款”裁量基准的规定。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2" w:hRule="atLeast"/>
        </w:trPr>
        <w:tc>
          <w:tcPr>
            <w:tcW w:w="525"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613" w:type="dxa"/>
            <w:noWrap w:val="0"/>
            <w:vAlign w:val="center"/>
          </w:tcPr>
          <w:p>
            <w:pPr>
              <w:widowControl w:val="0"/>
              <w:snapToGrid w:val="0"/>
              <w:spacing w:line="400" w:lineRule="exact"/>
              <w:jc w:val="center"/>
              <w:rPr>
                <w:rFonts w:hint="eastAsia" w:ascii="Times New Roman" w:hAnsi="Times New Roman" w:eastAsia="宋体" w:cs="Times New Roman"/>
                <w:b/>
                <w:snapToGrid w:val="0"/>
                <w:kern w:val="2"/>
                <w:sz w:val="21"/>
                <w:szCs w:val="24"/>
                <w:lang w:val="en-US" w:eastAsia="zh-CN" w:bidi="ar-SA"/>
              </w:rPr>
            </w:pPr>
            <w:r>
              <w:rPr>
                <w:rFonts w:hint="eastAsia" w:ascii="Times New Roman" w:hAnsi="Times New Roman" w:eastAsia="宋体" w:cs="Times New Roman"/>
                <w:b/>
                <w:snapToGrid w:val="0"/>
                <w:kern w:val="2"/>
                <w:sz w:val="21"/>
                <w:szCs w:val="24"/>
                <w:lang w:val="en-US" w:eastAsia="zh-CN" w:bidi="ar-SA"/>
              </w:rPr>
              <w:t>关联法条</w:t>
            </w:r>
          </w:p>
        </w:tc>
        <w:tc>
          <w:tcPr>
            <w:tcW w:w="11773" w:type="dxa"/>
            <w:gridSpan w:val="4"/>
            <w:tcBorders>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ascii="Times New Roman" w:hAnsi="Times New Roman" w:eastAsia="宋体" w:cs="Times New Roman"/>
                <w:snapToGrid w:val="0"/>
                <w:kern w:val="2"/>
                <w:sz w:val="21"/>
                <w:szCs w:val="24"/>
                <w:lang w:val="en-US" w:eastAsia="zh-CN" w:bidi="ar-SA"/>
              </w:rPr>
            </w:pPr>
            <w:r>
              <w:rPr>
                <w:rFonts w:hint="eastAsia"/>
                <w:sz w:val="21"/>
                <w:lang w:val="en-US" w:eastAsia="zh-CN"/>
              </w:rPr>
              <w:t xml:space="preserve">《药品网络销售监督管理办法》第三十四条第一款 </w:t>
            </w:r>
            <w:r>
              <w:rPr>
                <w:rFonts w:hint="eastAsia"/>
                <w:sz w:val="21"/>
                <w:lang w:val="en-US"/>
              </w:rPr>
              <w:t>（详见本基准第十</w:t>
            </w:r>
            <w:r>
              <w:rPr>
                <w:rFonts w:hint="eastAsia"/>
                <w:sz w:val="21"/>
                <w:lang w:val="en-US" w:eastAsia="zh-CN"/>
              </w:rPr>
              <w:t>九</w:t>
            </w:r>
            <w:r>
              <w:rPr>
                <w:rFonts w:hint="eastAsia"/>
                <w:sz w:val="21"/>
                <w:lang w:val="en-US"/>
              </w:rPr>
              <w:t>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525"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613" w:type="dxa"/>
            <w:tcBorders>
              <w:top w:val="single" w:color="000000" w:sz="8" w:space="0"/>
              <w:left w:val="single" w:color="000000" w:sz="8" w:space="0"/>
              <w:bottom w:val="single" w:color="000000" w:sz="8" w:space="0"/>
              <w:right w:val="single" w:color="000000" w:sz="8" w:space="0"/>
            </w:tcBorders>
            <w:noWrap w:val="0"/>
            <w:vAlign w:val="center"/>
          </w:tcPr>
          <w:p>
            <w:pPr>
              <w:widowControl w:val="0"/>
              <w:snapToGrid w:val="0"/>
              <w:spacing w:line="400" w:lineRule="exact"/>
              <w:jc w:val="center"/>
              <w:rPr>
                <w:rFonts w:ascii="Times New Roman" w:hAnsi="Times New Roman" w:eastAsia="Microsoft JhengHei" w:cs="Times New Roman"/>
                <w:b/>
                <w:snapToGrid w:val="0"/>
                <w:kern w:val="2"/>
                <w:sz w:val="21"/>
                <w:szCs w:val="24"/>
                <w:lang w:val="en-US" w:eastAsia="zh-CN" w:bidi="ar-SA"/>
              </w:rPr>
            </w:pPr>
            <w:r>
              <w:rPr>
                <w:rFonts w:hint="eastAsia" w:ascii="Times New Roman" w:hAnsi="Times New Roman" w:eastAsia="Microsoft JhengHei" w:cs="Times New Roman"/>
                <w:b/>
                <w:snapToGrid w:val="0"/>
                <w:kern w:val="2"/>
                <w:sz w:val="21"/>
                <w:szCs w:val="24"/>
                <w:lang w:val="en-US" w:eastAsia="zh-CN" w:bidi="ar-SA"/>
              </w:rPr>
              <w:t>裁量等级</w:t>
            </w:r>
          </w:p>
        </w:tc>
        <w:tc>
          <w:tcPr>
            <w:tcW w:w="2711"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减轻处罚幅度</w:t>
            </w:r>
          </w:p>
        </w:tc>
        <w:tc>
          <w:tcPr>
            <w:tcW w:w="3072"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从轻处罚幅度</w:t>
            </w:r>
          </w:p>
        </w:tc>
        <w:tc>
          <w:tcPr>
            <w:tcW w:w="2937"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一般处罚幅度</w:t>
            </w:r>
          </w:p>
        </w:tc>
        <w:tc>
          <w:tcPr>
            <w:tcW w:w="3053"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525"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613" w:type="dxa"/>
            <w:tcBorders>
              <w:top w:val="single" w:color="000000" w:sz="8" w:space="0"/>
              <w:left w:val="single" w:color="000000" w:sz="8" w:space="0"/>
              <w:bottom w:val="single" w:color="000000" w:sz="8" w:space="0"/>
              <w:right w:val="single" w:color="000000" w:sz="8" w:space="0"/>
            </w:tcBorders>
            <w:noWrap w:val="0"/>
            <w:vAlign w:val="center"/>
          </w:tcPr>
          <w:p>
            <w:pPr>
              <w:widowControl w:val="0"/>
              <w:snapToGrid w:val="0"/>
              <w:spacing w:line="400" w:lineRule="exact"/>
              <w:jc w:val="center"/>
              <w:rPr>
                <w:rFonts w:ascii="Times New Roman" w:hAnsi="Times New Roman" w:eastAsia="Microsoft JhengHei" w:cs="Times New Roman"/>
                <w:b/>
                <w:snapToGrid w:val="0"/>
                <w:color w:val="000000"/>
                <w:kern w:val="2"/>
                <w:sz w:val="21"/>
                <w:szCs w:val="24"/>
                <w:lang w:val="en-US" w:eastAsia="zh-CN" w:bidi="ar-SA"/>
              </w:rPr>
            </w:pPr>
            <w:r>
              <w:rPr>
                <w:rFonts w:hint="eastAsia" w:ascii="Times New Roman" w:hAnsi="Times New Roman" w:eastAsia="Microsoft JhengHei" w:cs="Times New Roman"/>
                <w:b/>
                <w:snapToGrid w:val="0"/>
                <w:color w:val="000000"/>
                <w:kern w:val="2"/>
                <w:sz w:val="21"/>
                <w:szCs w:val="24"/>
                <w:lang w:val="en-US" w:eastAsia="zh-CN" w:bidi="ar-SA"/>
              </w:rPr>
              <w:t>裁量基准</w:t>
            </w:r>
          </w:p>
        </w:tc>
        <w:tc>
          <w:tcPr>
            <w:tcW w:w="2711"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p>
        </w:tc>
        <w:tc>
          <w:tcPr>
            <w:tcW w:w="3072"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从轻行政处罚，处5万元至6.5万元的罚款。</w:t>
            </w:r>
          </w:p>
        </w:tc>
        <w:tc>
          <w:tcPr>
            <w:tcW w:w="2937"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r>
              <w:rPr>
                <w:rFonts w:hint="eastAsia"/>
                <w:sz w:val="21"/>
                <w:lang w:val="en-US" w:eastAsia="zh-CN"/>
              </w:rPr>
              <w:t>一般行政处罚，处6.5万元以上8.5万元以下的罚款。</w:t>
            </w:r>
          </w:p>
        </w:tc>
        <w:tc>
          <w:tcPr>
            <w:tcW w:w="3053"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从重行政处罚，处8.5万元至10万元的罚款。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5" w:hRule="atLeast"/>
        </w:trPr>
        <w:tc>
          <w:tcPr>
            <w:tcW w:w="525" w:type="dxa"/>
            <w:vMerge w:val="continue"/>
            <w:tcBorders>
              <w:right w:val="single" w:color="000000" w:sz="8" w:space="0"/>
            </w:tcBorders>
            <w:noWrap w:val="0"/>
            <w:vAlign w:val="center"/>
          </w:tcPr>
          <w:p>
            <w:pPr>
              <w:autoSpaceDE/>
              <w:autoSpaceDN/>
              <w:snapToGrid w:val="0"/>
              <w:spacing w:line="400" w:lineRule="exact"/>
              <w:jc w:val="both"/>
              <w:rPr>
                <w:rFonts w:ascii="Times New Roman" w:hAnsi="Times New Roman" w:cs="Times New Roman"/>
                <w:snapToGrid w:val="0"/>
                <w:kern w:val="2"/>
                <w:sz w:val="2"/>
                <w:szCs w:val="2"/>
                <w:lang w:val="en-US" w:bidi="ar-SA"/>
              </w:rPr>
            </w:pPr>
          </w:p>
        </w:tc>
        <w:tc>
          <w:tcPr>
            <w:tcW w:w="1613" w:type="dxa"/>
            <w:tcBorders>
              <w:top w:val="single" w:color="000000" w:sz="8" w:space="0"/>
              <w:left w:val="single" w:color="000000" w:sz="8"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80" w:lineRule="exact"/>
              <w:jc w:val="both"/>
              <w:textAlignment w:val="auto"/>
              <w:rPr>
                <w:rFonts w:hint="eastAsia" w:ascii="Times New Roman" w:hAnsi="Times New Roman" w:eastAsia="宋体" w:cs="Times New Roman"/>
                <w:snapToGrid w:val="0"/>
                <w:kern w:val="2"/>
                <w:sz w:val="21"/>
                <w:szCs w:val="24"/>
                <w:lang w:val="en-US" w:eastAsia="zh-CN" w:bidi="ar-SA"/>
              </w:rPr>
            </w:pPr>
            <w:r>
              <w:rPr>
                <w:rFonts w:hint="eastAsia" w:ascii="Times New Roman" w:hAnsi="Times New Roman" w:eastAsia="Microsoft JhengHei" w:cs="Times New Roman"/>
                <w:b/>
                <w:snapToGrid w:val="0"/>
                <w:kern w:val="2"/>
                <w:sz w:val="21"/>
                <w:szCs w:val="24"/>
                <w:lang w:val="en-US" w:eastAsia="zh-CN" w:bidi="ar-SA"/>
              </w:rPr>
              <w:t>裁量因素</w:t>
            </w:r>
            <w:r>
              <w:rPr>
                <w:rFonts w:hint="eastAsia" w:ascii="Times New Roman" w:hAnsi="Times New Roman" w:eastAsia="Microsoft JhengHei" w:cs="Times New Roman"/>
                <w:bCs/>
                <w:snapToGrid w:val="0"/>
                <w:kern w:val="2"/>
                <w:sz w:val="21"/>
                <w:szCs w:val="24"/>
                <w:lang w:val="en-US" w:eastAsia="zh-CN" w:bidi="ar-SA"/>
              </w:rPr>
              <w:t>（是指在进行裁量时，除裁量规则规定的从轻、减轻、从重情形外，可以考虑的因素）</w:t>
            </w:r>
          </w:p>
        </w:tc>
        <w:tc>
          <w:tcPr>
            <w:tcW w:w="11773" w:type="dxa"/>
            <w:gridSpan w:val="4"/>
            <w:tcBorders>
              <w:top w:val="single" w:color="000000" w:sz="8" w:space="0"/>
              <w:left w:val="single" w:color="auto" w:sz="4" w:space="0"/>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right="0"/>
              <w:jc w:val="left"/>
              <w:textAlignment w:val="auto"/>
              <w:rPr>
                <w:rFonts w:hint="default" w:ascii="宋体" w:hAnsi="宋体" w:eastAsia="宋体" w:cs="宋体"/>
                <w:b/>
                <w:bCs/>
                <w:snapToGrid w:val="0"/>
                <w:color w:val="000000"/>
                <w:kern w:val="0"/>
                <w:sz w:val="21"/>
                <w:szCs w:val="21"/>
                <w:lang w:val="en-US" w:eastAsia="zh-CN" w:bidi="ar"/>
              </w:rPr>
            </w:pPr>
          </w:p>
          <w:p>
            <w:pPr>
              <w:widowControl w:val="0"/>
              <w:snapToGrid w:val="0"/>
              <w:spacing w:line="400" w:lineRule="exact"/>
              <w:jc w:val="both"/>
              <w:rPr>
                <w:rFonts w:hint="eastAsia" w:ascii="Times New Roman" w:hAnsi="Times New Roman" w:eastAsia="宋体" w:cs="Times New Roman"/>
                <w:snapToGrid w:val="0"/>
                <w:kern w:val="2"/>
                <w:sz w:val="21"/>
                <w:szCs w:val="24"/>
                <w:lang w:val="en-US" w:eastAsia="zh-CN" w:bidi="ar-SA"/>
              </w:rPr>
            </w:pPr>
          </w:p>
        </w:tc>
      </w:tr>
    </w:tbl>
    <w:p>
      <w:pPr>
        <w:pStyle w:val="11"/>
        <w:keepNext w:val="0"/>
        <w:keepLines w:val="0"/>
        <w:pageBreakBefore w:val="0"/>
        <w:widowControl w:val="0"/>
        <w:kinsoku/>
        <w:wordWrap/>
        <w:overflowPunct/>
        <w:topLinePunct w:val="0"/>
        <w:autoSpaceDE w:val="0"/>
        <w:autoSpaceDN w:val="0"/>
        <w:bidi w:val="0"/>
        <w:adjustRightInd/>
        <w:snapToGrid/>
        <w:spacing w:line="240" w:lineRule="auto"/>
        <w:ind w:right="0" w:firstLine="421" w:firstLineChars="200"/>
        <w:jc w:val="both"/>
        <w:textAlignment w:val="auto"/>
        <w:rPr>
          <w:rFonts w:hint="eastAsia" w:ascii="Microsoft JhengHei"/>
          <w:b/>
          <w:sz w:val="21"/>
          <w:lang w:val="en-US" w:eastAsia="zh-CN"/>
        </w:rPr>
        <w:sectPr>
          <w:pgSz w:w="16838" w:h="11906" w:orient="landscape"/>
          <w:pgMar w:top="1800" w:right="1440" w:bottom="1800" w:left="1440" w:header="851" w:footer="992" w:gutter="0"/>
          <w:pgNumType w:fmt="decimal"/>
          <w:cols w:space="720" w:num="1"/>
          <w:docGrid w:type="lines" w:linePitch="312" w:charSpace="0"/>
        </w:sectPr>
      </w:pPr>
    </w:p>
    <w:tbl>
      <w:tblPr>
        <w:tblStyle w:val="8"/>
        <w:tblpPr w:leftFromText="180" w:rightFromText="180" w:vertAnchor="page" w:horzAnchor="page" w:tblpX="1417" w:tblpY="2232"/>
        <w:tblOverlap w:val="never"/>
        <w:tblW w:w="140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3"/>
        <w:gridCol w:w="1684"/>
        <w:gridCol w:w="2722"/>
        <w:gridCol w:w="3072"/>
        <w:gridCol w:w="2937"/>
        <w:gridCol w:w="3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23" w:type="dxa"/>
            <w:vMerge w:val="restart"/>
            <w:tcBorders>
              <w:top w:val="single" w:color="auto" w:sz="4" w:space="0"/>
              <w:bottom w:val="nil"/>
              <w:right w:val="single" w:color="000000" w:sz="8" w:space="0"/>
            </w:tcBorders>
            <w:noWrap w:val="0"/>
            <w:vAlign w:val="center"/>
          </w:tcPr>
          <w:p>
            <w:pPr>
              <w:widowControl w:val="0"/>
              <w:snapToGrid w:val="0"/>
              <w:spacing w:line="400" w:lineRule="exact"/>
              <w:jc w:val="center"/>
              <w:rPr>
                <w:rFonts w:hint="default" w:ascii="Times New Roman" w:hAnsi="Times New Roman" w:eastAsia="宋体" w:cs="Times New Roman"/>
                <w:b/>
                <w:snapToGrid w:val="0"/>
                <w:kern w:val="2"/>
                <w:sz w:val="21"/>
                <w:szCs w:val="24"/>
                <w:lang w:val="en-US" w:eastAsia="zh-CN" w:bidi="ar-SA"/>
              </w:rPr>
            </w:pPr>
            <w:r>
              <w:rPr>
                <w:rFonts w:hint="eastAsia" w:ascii="Times New Roman" w:hAnsi="Times New Roman" w:cs="Times New Roman"/>
                <w:b/>
                <w:snapToGrid w:val="0"/>
                <w:w w:val="98"/>
                <w:kern w:val="2"/>
                <w:sz w:val="21"/>
                <w:szCs w:val="24"/>
                <w:lang w:val="en-US" w:eastAsia="zh-CN" w:bidi="ar-SA"/>
              </w:rPr>
              <w:t>21</w:t>
            </w:r>
          </w:p>
        </w:tc>
        <w:tc>
          <w:tcPr>
            <w:tcW w:w="1684" w:type="dxa"/>
            <w:noWrap w:val="0"/>
            <w:vAlign w:val="center"/>
          </w:tcPr>
          <w:p>
            <w:pPr>
              <w:widowControl w:val="0"/>
              <w:snapToGrid w:val="0"/>
              <w:spacing w:line="400" w:lineRule="exact"/>
              <w:jc w:val="center"/>
              <w:rPr>
                <w:rFonts w:hint="eastAsia" w:ascii="Times New Roman" w:hAnsi="Times New Roman" w:eastAsia="宋体" w:cs="Times New Roman"/>
                <w:b/>
                <w:snapToGrid w:val="0"/>
                <w:kern w:val="2"/>
                <w:sz w:val="21"/>
                <w:szCs w:val="24"/>
                <w:lang w:val="en-US" w:eastAsia="zh-CN" w:bidi="ar-SA"/>
              </w:rPr>
            </w:pPr>
            <w:r>
              <w:rPr>
                <w:rFonts w:hint="eastAsia" w:ascii="Times New Roman" w:hAnsi="Times New Roman" w:eastAsia="宋体" w:cs="Times New Roman"/>
                <w:b/>
                <w:snapToGrid w:val="0"/>
                <w:kern w:val="2"/>
                <w:sz w:val="21"/>
                <w:szCs w:val="24"/>
                <w:lang w:val="en-US" w:eastAsia="zh-CN" w:bidi="ar-SA"/>
              </w:rPr>
              <w:t>裁量条款</w:t>
            </w:r>
          </w:p>
        </w:tc>
        <w:tc>
          <w:tcPr>
            <w:tcW w:w="11784" w:type="dxa"/>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ascii="Times New Roman" w:hAnsi="Times New Roman" w:eastAsia="宋体" w:cs="Times New Roman"/>
                <w:b/>
                <w:snapToGrid w:val="0"/>
                <w:kern w:val="2"/>
                <w:sz w:val="21"/>
                <w:szCs w:val="24"/>
                <w:lang w:val="en-US" w:eastAsia="zh-CN" w:bidi="ar-SA"/>
              </w:rPr>
            </w:pPr>
            <w:r>
              <w:rPr>
                <w:rFonts w:hint="eastAsia" w:ascii="Microsoft JhengHei"/>
                <w:b/>
                <w:sz w:val="21"/>
                <w:lang w:val="en-US" w:eastAsia="zh-CN"/>
              </w:rPr>
              <w:t>第二十一条  本条是对《药品网络销售监督管理办法》第三十四条第二款“处5万元以上10万元以下的罚款”裁量基准的规定。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23"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684" w:type="dxa"/>
            <w:noWrap w:val="0"/>
            <w:vAlign w:val="center"/>
          </w:tcPr>
          <w:p>
            <w:pPr>
              <w:widowControl w:val="0"/>
              <w:snapToGrid w:val="0"/>
              <w:spacing w:line="400" w:lineRule="exact"/>
              <w:jc w:val="center"/>
              <w:rPr>
                <w:rFonts w:hint="eastAsia" w:ascii="Times New Roman" w:hAnsi="Times New Roman" w:eastAsia="宋体" w:cs="Times New Roman"/>
                <w:b/>
                <w:snapToGrid w:val="0"/>
                <w:kern w:val="2"/>
                <w:sz w:val="21"/>
                <w:szCs w:val="24"/>
                <w:lang w:val="en-US" w:eastAsia="zh-CN" w:bidi="ar-SA"/>
              </w:rPr>
            </w:pPr>
            <w:r>
              <w:rPr>
                <w:rFonts w:hint="eastAsia" w:ascii="Times New Roman" w:hAnsi="Times New Roman" w:eastAsia="宋体" w:cs="Times New Roman"/>
                <w:b/>
                <w:snapToGrid w:val="0"/>
                <w:kern w:val="2"/>
                <w:sz w:val="21"/>
                <w:szCs w:val="24"/>
                <w:lang w:val="en-US" w:eastAsia="zh-CN" w:bidi="ar-SA"/>
              </w:rPr>
              <w:t>关联法条</w:t>
            </w:r>
          </w:p>
        </w:tc>
        <w:tc>
          <w:tcPr>
            <w:tcW w:w="11784" w:type="dxa"/>
            <w:gridSpan w:val="4"/>
            <w:tcBorders>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eastAsia"/>
                <w:sz w:val="21"/>
                <w:lang w:val="en-US" w:eastAsia="zh-CN"/>
              </w:rPr>
            </w:pPr>
            <w:r>
              <w:rPr>
                <w:rFonts w:hint="eastAsia"/>
                <w:sz w:val="21"/>
                <w:lang w:val="en-US" w:eastAsia="zh-CN"/>
              </w:rPr>
              <w:t>《药品网络销售监督管理办法》第三十四条第二款 违反本办法第九条第三款的规定，责令限期改正，处5万元以上10万元以下罚款；造成危害后果的，处10万元以上20万元以下罚款。</w:t>
            </w:r>
          </w:p>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ascii="Times New Roman" w:hAnsi="Times New Roman" w:eastAsia="宋体" w:cs="Times New Roman"/>
                <w:snapToGrid w:val="0"/>
                <w:kern w:val="2"/>
                <w:sz w:val="21"/>
                <w:szCs w:val="24"/>
                <w:lang w:val="en-US" w:eastAsia="zh-CN" w:bidi="ar-SA"/>
              </w:rPr>
            </w:pPr>
            <w:r>
              <w:rPr>
                <w:rFonts w:hint="eastAsia"/>
                <w:sz w:val="21"/>
                <w:lang w:val="en-US" w:eastAsia="zh-CN"/>
              </w:rPr>
              <w:t>《药品网络销售监督管理办法》第九条第三款 第三方平台承接电子处方的，应当对电子处方提供单位的情况进行核实，并签订协议。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623"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684" w:type="dxa"/>
            <w:tcBorders>
              <w:top w:val="single" w:color="000000" w:sz="8" w:space="0"/>
              <w:left w:val="single" w:color="000000" w:sz="8" w:space="0"/>
              <w:bottom w:val="single" w:color="000000" w:sz="8" w:space="0"/>
              <w:right w:val="single" w:color="000000" w:sz="8" w:space="0"/>
            </w:tcBorders>
            <w:noWrap w:val="0"/>
            <w:vAlign w:val="center"/>
          </w:tcPr>
          <w:p>
            <w:pPr>
              <w:widowControl w:val="0"/>
              <w:snapToGrid w:val="0"/>
              <w:spacing w:line="400" w:lineRule="exact"/>
              <w:jc w:val="center"/>
              <w:rPr>
                <w:rFonts w:ascii="Times New Roman" w:hAnsi="Times New Roman" w:eastAsia="Microsoft JhengHei" w:cs="Times New Roman"/>
                <w:b/>
                <w:snapToGrid w:val="0"/>
                <w:kern w:val="2"/>
                <w:sz w:val="21"/>
                <w:szCs w:val="24"/>
                <w:lang w:val="en-US" w:eastAsia="zh-CN" w:bidi="ar-SA"/>
              </w:rPr>
            </w:pPr>
            <w:r>
              <w:rPr>
                <w:rFonts w:hint="eastAsia" w:ascii="Times New Roman" w:hAnsi="Times New Roman" w:eastAsia="Microsoft JhengHei" w:cs="Times New Roman"/>
                <w:b/>
                <w:snapToGrid w:val="0"/>
                <w:kern w:val="2"/>
                <w:sz w:val="21"/>
                <w:szCs w:val="24"/>
                <w:lang w:val="en-US" w:eastAsia="zh-CN" w:bidi="ar-SA"/>
              </w:rPr>
              <w:t>裁量等级</w:t>
            </w:r>
          </w:p>
        </w:tc>
        <w:tc>
          <w:tcPr>
            <w:tcW w:w="2722"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减轻处罚幅度</w:t>
            </w:r>
          </w:p>
        </w:tc>
        <w:tc>
          <w:tcPr>
            <w:tcW w:w="3072"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从轻处罚幅度</w:t>
            </w:r>
          </w:p>
        </w:tc>
        <w:tc>
          <w:tcPr>
            <w:tcW w:w="2937"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一般处罚幅度</w:t>
            </w:r>
          </w:p>
        </w:tc>
        <w:tc>
          <w:tcPr>
            <w:tcW w:w="3053"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623"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684" w:type="dxa"/>
            <w:tcBorders>
              <w:top w:val="single" w:color="000000" w:sz="8" w:space="0"/>
              <w:left w:val="single" w:color="000000" w:sz="8" w:space="0"/>
              <w:bottom w:val="single" w:color="000000" w:sz="8" w:space="0"/>
              <w:right w:val="single" w:color="000000" w:sz="8" w:space="0"/>
            </w:tcBorders>
            <w:noWrap w:val="0"/>
            <w:vAlign w:val="center"/>
          </w:tcPr>
          <w:p>
            <w:pPr>
              <w:widowControl w:val="0"/>
              <w:snapToGrid w:val="0"/>
              <w:spacing w:line="400" w:lineRule="exact"/>
              <w:jc w:val="center"/>
              <w:rPr>
                <w:rFonts w:ascii="Times New Roman" w:hAnsi="Times New Roman" w:eastAsia="Microsoft JhengHei" w:cs="Times New Roman"/>
                <w:b/>
                <w:snapToGrid w:val="0"/>
                <w:color w:val="000000"/>
                <w:kern w:val="2"/>
                <w:sz w:val="21"/>
                <w:szCs w:val="24"/>
                <w:lang w:val="en-US" w:eastAsia="zh-CN" w:bidi="ar-SA"/>
              </w:rPr>
            </w:pPr>
            <w:r>
              <w:rPr>
                <w:rFonts w:hint="eastAsia" w:ascii="Times New Roman" w:hAnsi="Times New Roman" w:eastAsia="Microsoft JhengHei" w:cs="Times New Roman"/>
                <w:b/>
                <w:snapToGrid w:val="0"/>
                <w:color w:val="000000"/>
                <w:kern w:val="2"/>
                <w:sz w:val="21"/>
                <w:szCs w:val="24"/>
                <w:lang w:val="en-US" w:eastAsia="zh-CN" w:bidi="ar-SA"/>
              </w:rPr>
              <w:t>裁量基准</w:t>
            </w:r>
          </w:p>
        </w:tc>
        <w:tc>
          <w:tcPr>
            <w:tcW w:w="2722"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r>
              <w:rPr>
                <w:rFonts w:hint="eastAsia"/>
                <w:sz w:val="21"/>
                <w:lang w:val="en-US" w:eastAsia="zh-CN"/>
              </w:rPr>
              <w:t>符合裁量规则减轻行政处罚情形的，处5万元以下的罚款。</w:t>
            </w:r>
          </w:p>
        </w:tc>
        <w:tc>
          <w:tcPr>
            <w:tcW w:w="3072"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从轻行政处罚，处5万元至6.5万元的罚款。</w:t>
            </w:r>
          </w:p>
        </w:tc>
        <w:tc>
          <w:tcPr>
            <w:tcW w:w="2937"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r>
              <w:rPr>
                <w:rFonts w:hint="eastAsia"/>
                <w:sz w:val="21"/>
                <w:lang w:val="en-US" w:eastAsia="zh-CN"/>
              </w:rPr>
              <w:t>一般行政处罚，处6.5万元以上8.5万元以下的罚款。</w:t>
            </w:r>
          </w:p>
        </w:tc>
        <w:tc>
          <w:tcPr>
            <w:tcW w:w="3053"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从重行政处罚，处8.5万元至10万元的罚款。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5" w:hRule="atLeast"/>
        </w:trPr>
        <w:tc>
          <w:tcPr>
            <w:tcW w:w="623" w:type="dxa"/>
            <w:vMerge w:val="continue"/>
            <w:tcBorders>
              <w:right w:val="single" w:color="000000" w:sz="8" w:space="0"/>
            </w:tcBorders>
            <w:noWrap w:val="0"/>
            <w:vAlign w:val="center"/>
          </w:tcPr>
          <w:p>
            <w:pPr>
              <w:autoSpaceDE/>
              <w:autoSpaceDN/>
              <w:snapToGrid w:val="0"/>
              <w:spacing w:line="400" w:lineRule="exact"/>
              <w:jc w:val="both"/>
              <w:rPr>
                <w:rFonts w:ascii="Times New Roman" w:hAnsi="Times New Roman" w:cs="Times New Roman"/>
                <w:snapToGrid w:val="0"/>
                <w:kern w:val="2"/>
                <w:sz w:val="2"/>
                <w:szCs w:val="2"/>
                <w:lang w:val="en-US" w:bidi="ar-SA"/>
              </w:rPr>
            </w:pPr>
          </w:p>
        </w:tc>
        <w:tc>
          <w:tcPr>
            <w:tcW w:w="1684" w:type="dxa"/>
            <w:tcBorders>
              <w:top w:val="single" w:color="000000" w:sz="8" w:space="0"/>
              <w:left w:val="single" w:color="000000" w:sz="8"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80" w:lineRule="exact"/>
              <w:jc w:val="both"/>
              <w:textAlignment w:val="auto"/>
              <w:rPr>
                <w:rFonts w:hint="eastAsia" w:ascii="Times New Roman" w:hAnsi="Times New Roman" w:eastAsia="宋体" w:cs="Times New Roman"/>
                <w:snapToGrid w:val="0"/>
                <w:kern w:val="2"/>
                <w:sz w:val="21"/>
                <w:szCs w:val="24"/>
                <w:lang w:val="en-US" w:eastAsia="zh-CN" w:bidi="ar-SA"/>
              </w:rPr>
            </w:pPr>
            <w:r>
              <w:rPr>
                <w:rFonts w:hint="eastAsia" w:ascii="Times New Roman" w:hAnsi="Times New Roman" w:eastAsia="Microsoft JhengHei" w:cs="Times New Roman"/>
                <w:b/>
                <w:snapToGrid w:val="0"/>
                <w:kern w:val="2"/>
                <w:sz w:val="21"/>
                <w:szCs w:val="24"/>
                <w:lang w:val="en-US" w:eastAsia="zh-CN" w:bidi="ar-SA"/>
              </w:rPr>
              <w:t>裁量因素</w:t>
            </w:r>
            <w:r>
              <w:rPr>
                <w:rFonts w:hint="eastAsia" w:ascii="Times New Roman" w:hAnsi="Times New Roman" w:eastAsia="Microsoft JhengHei" w:cs="Times New Roman"/>
                <w:bCs/>
                <w:snapToGrid w:val="0"/>
                <w:kern w:val="2"/>
                <w:sz w:val="21"/>
                <w:szCs w:val="24"/>
                <w:lang w:val="en-US" w:eastAsia="zh-CN" w:bidi="ar-SA"/>
              </w:rPr>
              <w:t>（是指在进行裁量时，除裁量规则规定的从轻、减轻、从重情形外，可以考虑的因素）</w:t>
            </w:r>
          </w:p>
        </w:tc>
        <w:tc>
          <w:tcPr>
            <w:tcW w:w="11784" w:type="dxa"/>
            <w:gridSpan w:val="4"/>
            <w:tcBorders>
              <w:top w:val="single" w:color="000000" w:sz="8" w:space="0"/>
              <w:left w:val="single" w:color="auto" w:sz="4" w:space="0"/>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right="0"/>
              <w:jc w:val="both"/>
              <w:textAlignment w:val="auto"/>
              <w:rPr>
                <w:rFonts w:hint="default"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从轻处罚考虑因素</w:t>
            </w:r>
            <w:r>
              <w:rPr>
                <w:rFonts w:hint="eastAsia" w:ascii="宋体" w:hAnsi="宋体" w:eastAsia="宋体" w:cs="宋体"/>
                <w:b w:val="0"/>
                <w:bCs w:val="0"/>
                <w:snapToGrid w:val="0"/>
                <w:color w:val="000000"/>
                <w:kern w:val="0"/>
                <w:sz w:val="21"/>
                <w:szCs w:val="21"/>
                <w:lang w:val="en-US" w:eastAsia="zh-CN" w:bidi="ar"/>
              </w:rPr>
              <w:t>：</w:t>
            </w:r>
            <w:r>
              <w:rPr>
                <w:rFonts w:hint="eastAsia" w:ascii="宋体" w:hAnsi="宋体" w:cs="宋体"/>
                <w:b w:val="0"/>
                <w:bCs w:val="0"/>
                <w:snapToGrid w:val="0"/>
                <w:color w:val="000000"/>
                <w:kern w:val="0"/>
                <w:sz w:val="21"/>
                <w:szCs w:val="21"/>
                <w:lang w:val="en-US" w:eastAsia="zh-CN" w:bidi="ar"/>
              </w:rPr>
              <w:t>违法行为持续时间小于3个月且未造成危害后果。</w:t>
            </w:r>
          </w:p>
          <w:p>
            <w:pPr>
              <w:widowControl w:val="0"/>
              <w:snapToGrid w:val="0"/>
              <w:spacing w:line="400" w:lineRule="exact"/>
              <w:jc w:val="both"/>
              <w:rPr>
                <w:rFonts w:hint="eastAsia" w:ascii="Times New Roman" w:hAnsi="Times New Roman" w:eastAsia="宋体" w:cs="Times New Roman"/>
                <w:snapToGrid w:val="0"/>
                <w:kern w:val="2"/>
                <w:sz w:val="21"/>
                <w:szCs w:val="24"/>
                <w:lang w:val="en-US" w:eastAsia="zh-CN" w:bidi="ar-SA"/>
              </w:rPr>
            </w:pPr>
          </w:p>
        </w:tc>
      </w:tr>
    </w:tbl>
    <w:p>
      <w:pPr>
        <w:pStyle w:val="11"/>
        <w:keepNext w:val="0"/>
        <w:keepLines w:val="0"/>
        <w:pageBreakBefore w:val="0"/>
        <w:widowControl w:val="0"/>
        <w:kinsoku/>
        <w:wordWrap/>
        <w:overflowPunct/>
        <w:topLinePunct w:val="0"/>
        <w:autoSpaceDE w:val="0"/>
        <w:autoSpaceDN w:val="0"/>
        <w:bidi w:val="0"/>
        <w:adjustRightInd/>
        <w:snapToGrid/>
        <w:spacing w:line="240" w:lineRule="auto"/>
        <w:ind w:right="0" w:firstLine="421" w:firstLineChars="200"/>
        <w:jc w:val="both"/>
        <w:textAlignment w:val="auto"/>
        <w:rPr>
          <w:rFonts w:hint="eastAsia" w:ascii="Microsoft JhengHei"/>
          <w:b/>
          <w:sz w:val="21"/>
          <w:lang w:val="en-US" w:eastAsia="zh-CN"/>
        </w:rPr>
        <w:sectPr>
          <w:pgSz w:w="16838" w:h="11906" w:orient="landscape"/>
          <w:pgMar w:top="1800" w:right="1440" w:bottom="1800" w:left="1440" w:header="851" w:footer="992" w:gutter="0"/>
          <w:pgNumType w:fmt="decimal"/>
          <w:cols w:space="720" w:num="1"/>
          <w:docGrid w:type="lines" w:linePitch="312" w:charSpace="0"/>
        </w:sectPr>
      </w:pPr>
    </w:p>
    <w:tbl>
      <w:tblPr>
        <w:tblStyle w:val="8"/>
        <w:tblW w:w="140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3"/>
        <w:gridCol w:w="1660"/>
        <w:gridCol w:w="2746"/>
        <w:gridCol w:w="3072"/>
        <w:gridCol w:w="2937"/>
        <w:gridCol w:w="3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23" w:type="dxa"/>
            <w:vMerge w:val="restart"/>
            <w:tcBorders>
              <w:top w:val="single" w:color="auto" w:sz="4" w:space="0"/>
              <w:bottom w:val="nil"/>
              <w:right w:val="single" w:color="000000" w:sz="8" w:space="0"/>
            </w:tcBorders>
            <w:noWrap w:val="0"/>
            <w:vAlign w:val="center"/>
          </w:tcPr>
          <w:p>
            <w:pPr>
              <w:widowControl w:val="0"/>
              <w:snapToGrid w:val="0"/>
              <w:spacing w:line="400" w:lineRule="exact"/>
              <w:jc w:val="center"/>
              <w:rPr>
                <w:rFonts w:hint="default" w:ascii="Times New Roman" w:hAnsi="Times New Roman" w:eastAsia="宋体" w:cs="Times New Roman"/>
                <w:b/>
                <w:snapToGrid w:val="0"/>
                <w:kern w:val="2"/>
                <w:sz w:val="21"/>
                <w:szCs w:val="24"/>
                <w:lang w:val="en-US" w:eastAsia="zh-CN" w:bidi="ar-SA"/>
              </w:rPr>
            </w:pPr>
            <w:r>
              <w:rPr>
                <w:rFonts w:hint="eastAsia" w:ascii="Times New Roman" w:hAnsi="Times New Roman" w:cs="Times New Roman"/>
                <w:b/>
                <w:snapToGrid w:val="0"/>
                <w:kern w:val="2"/>
                <w:sz w:val="21"/>
                <w:szCs w:val="24"/>
                <w:lang w:val="en-US" w:eastAsia="zh-CN" w:bidi="ar-SA"/>
              </w:rPr>
              <w:t>22</w:t>
            </w:r>
          </w:p>
        </w:tc>
        <w:tc>
          <w:tcPr>
            <w:tcW w:w="1660" w:type="dxa"/>
            <w:noWrap w:val="0"/>
            <w:vAlign w:val="center"/>
          </w:tcPr>
          <w:p>
            <w:pPr>
              <w:widowControl w:val="0"/>
              <w:snapToGrid w:val="0"/>
              <w:spacing w:line="400" w:lineRule="exact"/>
              <w:jc w:val="center"/>
              <w:rPr>
                <w:rFonts w:hint="eastAsia" w:ascii="Times New Roman" w:hAnsi="Times New Roman" w:eastAsia="宋体" w:cs="Times New Roman"/>
                <w:b/>
                <w:snapToGrid w:val="0"/>
                <w:kern w:val="2"/>
                <w:sz w:val="21"/>
                <w:szCs w:val="24"/>
                <w:lang w:val="en-US" w:eastAsia="zh-CN" w:bidi="ar-SA"/>
              </w:rPr>
            </w:pPr>
            <w:r>
              <w:rPr>
                <w:rFonts w:hint="eastAsia" w:ascii="Times New Roman" w:hAnsi="Times New Roman" w:eastAsia="宋体" w:cs="Times New Roman"/>
                <w:b/>
                <w:snapToGrid w:val="0"/>
                <w:kern w:val="2"/>
                <w:sz w:val="21"/>
                <w:szCs w:val="24"/>
                <w:lang w:val="en-US" w:eastAsia="zh-CN" w:bidi="ar-SA"/>
              </w:rPr>
              <w:t>裁量条款</w:t>
            </w:r>
          </w:p>
        </w:tc>
        <w:tc>
          <w:tcPr>
            <w:tcW w:w="11808" w:type="dxa"/>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hint="eastAsia" w:ascii="Microsoft JhengHei"/>
                <w:b/>
                <w:sz w:val="21"/>
                <w:lang w:val="en-US" w:eastAsia="zh-CN"/>
              </w:rPr>
            </w:pPr>
            <w:r>
              <w:rPr>
                <w:rFonts w:hint="eastAsia" w:ascii="Microsoft JhengHei"/>
                <w:b/>
                <w:sz w:val="21"/>
                <w:lang w:val="en-US" w:eastAsia="zh-CN"/>
              </w:rPr>
              <w:t>第二十二条  本条是对《药品网络销售监督管理办法》第三十四条第二款“处10万元以上20万元以下的罚款”裁量基准的规定。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623"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660" w:type="dxa"/>
            <w:noWrap w:val="0"/>
            <w:vAlign w:val="center"/>
          </w:tcPr>
          <w:p>
            <w:pPr>
              <w:widowControl w:val="0"/>
              <w:snapToGrid w:val="0"/>
              <w:spacing w:line="400" w:lineRule="exact"/>
              <w:jc w:val="center"/>
              <w:rPr>
                <w:rFonts w:hint="eastAsia" w:ascii="Times New Roman" w:hAnsi="Times New Roman" w:eastAsia="宋体" w:cs="Times New Roman"/>
                <w:b/>
                <w:snapToGrid w:val="0"/>
                <w:kern w:val="2"/>
                <w:sz w:val="21"/>
                <w:szCs w:val="24"/>
                <w:lang w:val="en-US" w:eastAsia="zh-CN" w:bidi="ar-SA"/>
              </w:rPr>
            </w:pPr>
            <w:r>
              <w:rPr>
                <w:rFonts w:hint="eastAsia" w:ascii="Times New Roman" w:hAnsi="Times New Roman" w:eastAsia="宋体" w:cs="Times New Roman"/>
                <w:b/>
                <w:snapToGrid w:val="0"/>
                <w:kern w:val="2"/>
                <w:sz w:val="21"/>
                <w:szCs w:val="24"/>
                <w:lang w:val="en-US" w:eastAsia="zh-CN" w:bidi="ar-SA"/>
              </w:rPr>
              <w:t>关联法条</w:t>
            </w:r>
          </w:p>
        </w:tc>
        <w:tc>
          <w:tcPr>
            <w:tcW w:w="11808" w:type="dxa"/>
            <w:gridSpan w:val="4"/>
            <w:tcBorders>
              <w:bottom w:val="single" w:color="000000" w:sz="8" w:space="0"/>
              <w:right w:val="single" w:color="000000" w:sz="8" w:space="0"/>
            </w:tcBorders>
            <w:noWrap w:val="0"/>
            <w:vAlign w:val="center"/>
          </w:tcPr>
          <w:p>
            <w:pPr>
              <w:keepNext w:val="0"/>
              <w:keepLines w:val="0"/>
              <w:widowControl/>
              <w:suppressLineNumbers w:val="0"/>
              <w:jc w:val="both"/>
              <w:rPr>
                <w:rFonts w:ascii="Times New Roman" w:hAnsi="Times New Roman" w:eastAsia="宋体" w:cs="Times New Roman"/>
                <w:snapToGrid w:val="0"/>
                <w:kern w:val="2"/>
                <w:sz w:val="21"/>
                <w:szCs w:val="24"/>
                <w:lang w:val="en-US" w:eastAsia="zh-CN" w:bidi="ar-SA"/>
              </w:rPr>
            </w:pPr>
            <w:r>
              <w:rPr>
                <w:rFonts w:hint="eastAsia"/>
                <w:sz w:val="21"/>
                <w:lang w:val="en-US" w:eastAsia="zh-CN"/>
              </w:rPr>
              <w:t xml:space="preserve">《药品网络销售监督管理办法》第三十四条第二款 </w:t>
            </w:r>
            <w:r>
              <w:rPr>
                <w:rFonts w:hint="eastAsia" w:ascii="宋体" w:hAnsi="宋体" w:eastAsia="宋体" w:cs="宋体"/>
                <w:color w:val="auto"/>
                <w:kern w:val="0"/>
                <w:sz w:val="21"/>
                <w:szCs w:val="22"/>
                <w:lang w:val="en-US" w:eastAsia="zh-CN" w:bidi="ar"/>
              </w:rPr>
              <w:t>（详见本基准第</w:t>
            </w:r>
            <w:r>
              <w:rPr>
                <w:rFonts w:hint="eastAsia" w:cs="宋体"/>
                <w:color w:val="auto"/>
                <w:kern w:val="0"/>
                <w:sz w:val="21"/>
                <w:szCs w:val="22"/>
                <w:lang w:val="en-US" w:eastAsia="zh-CN" w:bidi="ar"/>
              </w:rPr>
              <w:t>二</w:t>
            </w:r>
            <w:r>
              <w:rPr>
                <w:rFonts w:hint="eastAsia" w:ascii="宋体" w:hAnsi="宋体" w:eastAsia="宋体" w:cs="宋体"/>
                <w:color w:val="auto"/>
                <w:kern w:val="0"/>
                <w:sz w:val="21"/>
                <w:szCs w:val="22"/>
                <w:lang w:val="en-US" w:eastAsia="zh-CN" w:bidi="ar"/>
              </w:rPr>
              <w:t>十</w:t>
            </w:r>
            <w:r>
              <w:rPr>
                <w:rFonts w:hint="eastAsia" w:cs="宋体"/>
                <w:color w:val="auto"/>
                <w:kern w:val="0"/>
                <w:sz w:val="21"/>
                <w:szCs w:val="22"/>
                <w:lang w:val="en-US" w:eastAsia="zh-CN" w:bidi="ar"/>
              </w:rPr>
              <w:t>一</w:t>
            </w:r>
            <w:r>
              <w:rPr>
                <w:rFonts w:hint="eastAsia" w:ascii="宋体" w:hAnsi="宋体" w:eastAsia="宋体" w:cs="宋体"/>
                <w:color w:val="auto"/>
                <w:kern w:val="0"/>
                <w:sz w:val="21"/>
                <w:szCs w:val="22"/>
                <w:lang w:val="en-US" w:eastAsia="zh-CN" w:bidi="ar"/>
              </w:rPr>
              <w:t>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623"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裁量等级</w:t>
            </w:r>
          </w:p>
        </w:tc>
        <w:tc>
          <w:tcPr>
            <w:tcW w:w="2746"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减轻处罚幅度</w:t>
            </w:r>
          </w:p>
        </w:tc>
        <w:tc>
          <w:tcPr>
            <w:tcW w:w="3072"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从轻处罚幅度</w:t>
            </w:r>
          </w:p>
        </w:tc>
        <w:tc>
          <w:tcPr>
            <w:tcW w:w="2937"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一般处罚幅度</w:t>
            </w:r>
          </w:p>
        </w:tc>
        <w:tc>
          <w:tcPr>
            <w:tcW w:w="3053"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623"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widowControl w:val="0"/>
              <w:snapToGrid w:val="0"/>
              <w:spacing w:line="400" w:lineRule="exact"/>
              <w:jc w:val="center"/>
              <w:rPr>
                <w:rFonts w:ascii="Times New Roman" w:hAnsi="Times New Roman" w:eastAsia="Microsoft JhengHei" w:cs="Times New Roman"/>
                <w:b/>
                <w:snapToGrid w:val="0"/>
                <w:color w:val="000000"/>
                <w:kern w:val="2"/>
                <w:sz w:val="21"/>
                <w:szCs w:val="24"/>
                <w:lang w:val="en-US" w:eastAsia="zh-CN" w:bidi="ar-SA"/>
              </w:rPr>
            </w:pPr>
            <w:r>
              <w:rPr>
                <w:rFonts w:hint="eastAsia" w:ascii="Times New Roman" w:hAnsi="Times New Roman" w:eastAsia="Microsoft JhengHei" w:cs="Times New Roman"/>
                <w:b/>
                <w:snapToGrid w:val="0"/>
                <w:color w:val="000000"/>
                <w:kern w:val="2"/>
                <w:sz w:val="21"/>
                <w:szCs w:val="24"/>
                <w:lang w:val="en-US" w:eastAsia="zh-CN" w:bidi="ar-SA"/>
              </w:rPr>
              <w:t>裁量基准</w:t>
            </w:r>
          </w:p>
        </w:tc>
        <w:tc>
          <w:tcPr>
            <w:tcW w:w="2746"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r>
              <w:rPr>
                <w:rFonts w:hint="eastAsia"/>
                <w:sz w:val="21"/>
                <w:lang w:val="en-US" w:eastAsia="zh-CN"/>
              </w:rPr>
              <w:t>符合裁量规则减轻行政处罚情形的，处10万元以下的罚款。</w:t>
            </w:r>
          </w:p>
        </w:tc>
        <w:tc>
          <w:tcPr>
            <w:tcW w:w="3072"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从轻行政处罚，处10万元至13万元的罚款。</w:t>
            </w:r>
          </w:p>
        </w:tc>
        <w:tc>
          <w:tcPr>
            <w:tcW w:w="2937"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r>
              <w:rPr>
                <w:rFonts w:hint="eastAsia"/>
                <w:sz w:val="21"/>
                <w:lang w:val="en-US" w:eastAsia="zh-CN"/>
              </w:rPr>
              <w:t>一般行政处罚，处13万元以上17万元以下的罚款。</w:t>
            </w:r>
          </w:p>
        </w:tc>
        <w:tc>
          <w:tcPr>
            <w:tcW w:w="3053"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从重行政处罚，处17万元至20万元的罚款。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0" w:hRule="atLeast"/>
        </w:trPr>
        <w:tc>
          <w:tcPr>
            <w:tcW w:w="623" w:type="dxa"/>
            <w:vMerge w:val="continue"/>
            <w:tcBorders>
              <w:right w:val="single" w:color="000000" w:sz="8" w:space="0"/>
            </w:tcBorders>
            <w:noWrap w:val="0"/>
            <w:vAlign w:val="center"/>
          </w:tcPr>
          <w:p>
            <w:pPr>
              <w:autoSpaceDE/>
              <w:autoSpaceDN/>
              <w:snapToGrid w:val="0"/>
              <w:spacing w:line="400" w:lineRule="exact"/>
              <w:jc w:val="both"/>
              <w:rPr>
                <w:rFonts w:ascii="Times New Roman" w:hAnsi="Times New Roman" w:cs="Times New Roman"/>
                <w:snapToGrid w:val="0"/>
                <w:kern w:val="2"/>
                <w:sz w:val="2"/>
                <w:szCs w:val="2"/>
                <w:lang w:val="en-US" w:bidi="ar-SA"/>
              </w:rPr>
            </w:pPr>
          </w:p>
        </w:tc>
        <w:tc>
          <w:tcPr>
            <w:tcW w:w="1660" w:type="dxa"/>
            <w:tcBorders>
              <w:top w:val="single" w:color="000000" w:sz="8" w:space="0"/>
              <w:left w:val="single" w:color="000000" w:sz="8" w:space="0"/>
              <w:bottom w:val="single" w:color="000000" w:sz="8"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80" w:lineRule="exact"/>
              <w:jc w:val="both"/>
              <w:textAlignment w:val="auto"/>
              <w:rPr>
                <w:rFonts w:hint="eastAsia" w:ascii="Times New Roman" w:hAnsi="Times New Roman" w:eastAsia="宋体" w:cs="Times New Roman"/>
                <w:snapToGrid w:val="0"/>
                <w:kern w:val="2"/>
                <w:sz w:val="21"/>
                <w:szCs w:val="24"/>
                <w:lang w:val="en-US" w:eastAsia="zh-CN" w:bidi="ar-SA"/>
              </w:rPr>
            </w:pPr>
            <w:r>
              <w:rPr>
                <w:rFonts w:hint="eastAsia" w:ascii="Times New Roman" w:hAnsi="Times New Roman" w:eastAsia="Microsoft JhengHei" w:cs="Times New Roman"/>
                <w:b/>
                <w:snapToGrid w:val="0"/>
                <w:kern w:val="2"/>
                <w:sz w:val="21"/>
                <w:szCs w:val="24"/>
                <w:lang w:val="en-US" w:eastAsia="zh-CN" w:bidi="ar-SA"/>
              </w:rPr>
              <w:t>裁量因素</w:t>
            </w:r>
            <w:r>
              <w:rPr>
                <w:rFonts w:hint="eastAsia" w:ascii="Times New Roman" w:hAnsi="Times New Roman" w:eastAsia="Microsoft JhengHei" w:cs="Times New Roman"/>
                <w:bCs/>
                <w:snapToGrid w:val="0"/>
                <w:kern w:val="2"/>
                <w:sz w:val="21"/>
                <w:szCs w:val="24"/>
                <w:lang w:val="en-US" w:eastAsia="zh-CN" w:bidi="ar-SA"/>
              </w:rPr>
              <w:t>（是指在进行裁量时，除裁量规则规定的从轻、减轻、从重情形外，可以考虑的因素）</w:t>
            </w:r>
          </w:p>
        </w:tc>
        <w:tc>
          <w:tcPr>
            <w:tcW w:w="11808" w:type="dxa"/>
            <w:gridSpan w:val="4"/>
            <w:tcBorders>
              <w:top w:val="single" w:color="000000" w:sz="8" w:space="0"/>
              <w:left w:val="single" w:color="auto" w:sz="4" w:space="0"/>
              <w:bottom w:val="single" w:color="000000" w:sz="8" w:space="0"/>
              <w:right w:val="single" w:color="000000" w:sz="8" w:space="0"/>
            </w:tcBorders>
            <w:noWrap w:val="0"/>
            <w:vAlign w:val="center"/>
          </w:tcPr>
          <w:p>
            <w:pPr>
              <w:widowControl w:val="0"/>
              <w:snapToGrid w:val="0"/>
              <w:spacing w:line="400" w:lineRule="exact"/>
              <w:jc w:val="both"/>
              <w:rPr>
                <w:rFonts w:hint="eastAsia" w:ascii="Times New Roman" w:hAnsi="Times New Roman" w:eastAsia="宋体" w:cs="Times New Roman"/>
                <w:snapToGrid w:val="0"/>
                <w:kern w:val="2"/>
                <w:sz w:val="21"/>
                <w:szCs w:val="24"/>
                <w:lang w:val="en-US" w:eastAsia="zh-CN" w:bidi="ar-SA"/>
              </w:rPr>
            </w:pPr>
          </w:p>
        </w:tc>
      </w:tr>
    </w:tbl>
    <w:p>
      <w:pPr>
        <w:pStyle w:val="11"/>
        <w:keepNext w:val="0"/>
        <w:keepLines w:val="0"/>
        <w:pageBreakBefore w:val="0"/>
        <w:widowControl w:val="0"/>
        <w:kinsoku/>
        <w:wordWrap/>
        <w:overflowPunct/>
        <w:topLinePunct w:val="0"/>
        <w:autoSpaceDE w:val="0"/>
        <w:autoSpaceDN w:val="0"/>
        <w:bidi w:val="0"/>
        <w:adjustRightInd/>
        <w:snapToGrid/>
        <w:spacing w:line="240" w:lineRule="auto"/>
        <w:ind w:right="0" w:firstLine="421" w:firstLineChars="200"/>
        <w:jc w:val="both"/>
        <w:textAlignment w:val="auto"/>
        <w:rPr>
          <w:rFonts w:hint="eastAsia" w:ascii="Microsoft JhengHei"/>
          <w:b/>
          <w:sz w:val="21"/>
          <w:lang w:val="en-US" w:eastAsia="zh-CN"/>
        </w:rPr>
        <w:sectPr>
          <w:pgSz w:w="16838" w:h="11906" w:orient="landscape"/>
          <w:pgMar w:top="1800" w:right="1440" w:bottom="1800" w:left="1440" w:header="851" w:footer="992" w:gutter="0"/>
          <w:pgNumType w:fmt="decimal"/>
          <w:cols w:space="720" w:num="1"/>
          <w:docGrid w:type="lines" w:linePitch="312" w:charSpace="0"/>
        </w:sectPr>
      </w:pPr>
    </w:p>
    <w:tbl>
      <w:tblPr>
        <w:tblStyle w:val="8"/>
        <w:tblpPr w:leftFromText="180" w:rightFromText="180" w:vertAnchor="page" w:horzAnchor="page" w:tblpX="1437" w:tblpY="2214"/>
        <w:tblOverlap w:val="never"/>
        <w:tblW w:w="143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9"/>
        <w:gridCol w:w="1687"/>
        <w:gridCol w:w="2719"/>
        <w:gridCol w:w="3094"/>
        <w:gridCol w:w="2943"/>
        <w:gridCol w:w="3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19" w:type="dxa"/>
            <w:vMerge w:val="restart"/>
            <w:tcBorders>
              <w:top w:val="single" w:color="auto" w:sz="4" w:space="0"/>
              <w:bottom w:val="nil"/>
              <w:right w:val="single" w:color="000000" w:sz="8" w:space="0"/>
            </w:tcBorders>
            <w:noWrap w:val="0"/>
            <w:vAlign w:val="center"/>
          </w:tcPr>
          <w:p>
            <w:pPr>
              <w:widowControl w:val="0"/>
              <w:snapToGrid w:val="0"/>
              <w:spacing w:line="400" w:lineRule="exact"/>
              <w:jc w:val="center"/>
              <w:rPr>
                <w:rFonts w:hint="default" w:ascii="Times New Roman" w:hAnsi="Times New Roman" w:eastAsia="宋体" w:cs="Times New Roman"/>
                <w:b/>
                <w:snapToGrid w:val="0"/>
                <w:kern w:val="2"/>
                <w:sz w:val="21"/>
                <w:szCs w:val="24"/>
                <w:lang w:val="en-US" w:eastAsia="zh-CN" w:bidi="ar-SA"/>
              </w:rPr>
            </w:pPr>
            <w:r>
              <w:rPr>
                <w:rFonts w:hint="eastAsia" w:ascii="Times New Roman" w:hAnsi="Times New Roman" w:cs="Times New Roman"/>
                <w:b/>
                <w:snapToGrid w:val="0"/>
                <w:kern w:val="2"/>
                <w:sz w:val="21"/>
                <w:szCs w:val="24"/>
                <w:lang w:val="en-US" w:eastAsia="zh-CN" w:bidi="ar-SA"/>
              </w:rPr>
              <w:t>23</w:t>
            </w:r>
          </w:p>
        </w:tc>
        <w:tc>
          <w:tcPr>
            <w:tcW w:w="1687" w:type="dxa"/>
            <w:noWrap w:val="0"/>
            <w:vAlign w:val="center"/>
          </w:tcPr>
          <w:p>
            <w:pPr>
              <w:widowControl w:val="0"/>
              <w:snapToGrid w:val="0"/>
              <w:spacing w:line="400" w:lineRule="exact"/>
              <w:jc w:val="center"/>
              <w:rPr>
                <w:rFonts w:hint="eastAsia" w:ascii="Times New Roman" w:hAnsi="Times New Roman" w:eastAsia="宋体" w:cs="Times New Roman"/>
                <w:b/>
                <w:snapToGrid w:val="0"/>
                <w:kern w:val="2"/>
                <w:sz w:val="21"/>
                <w:szCs w:val="24"/>
                <w:lang w:val="en-US" w:eastAsia="zh-CN" w:bidi="ar-SA"/>
              </w:rPr>
            </w:pPr>
            <w:r>
              <w:rPr>
                <w:rFonts w:hint="eastAsia" w:ascii="Times New Roman" w:hAnsi="Times New Roman" w:eastAsia="宋体" w:cs="Times New Roman"/>
                <w:b/>
                <w:snapToGrid w:val="0"/>
                <w:kern w:val="2"/>
                <w:sz w:val="21"/>
                <w:szCs w:val="24"/>
                <w:lang w:val="en-US" w:eastAsia="zh-CN" w:bidi="ar-SA"/>
              </w:rPr>
              <w:t>裁量条款</w:t>
            </w:r>
          </w:p>
        </w:tc>
        <w:tc>
          <w:tcPr>
            <w:tcW w:w="12041" w:type="dxa"/>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ascii="Times New Roman" w:hAnsi="Times New Roman" w:eastAsia="宋体" w:cs="Times New Roman"/>
                <w:b/>
                <w:snapToGrid w:val="0"/>
                <w:kern w:val="2"/>
                <w:sz w:val="21"/>
                <w:szCs w:val="24"/>
                <w:lang w:val="en-US" w:eastAsia="zh-CN" w:bidi="ar-SA"/>
              </w:rPr>
            </w:pPr>
            <w:r>
              <w:rPr>
                <w:rFonts w:hint="eastAsia" w:ascii="Microsoft JhengHei"/>
                <w:b/>
                <w:sz w:val="21"/>
                <w:lang w:val="en-US" w:eastAsia="zh-CN"/>
              </w:rPr>
              <w:t>第二十三条  本条是对《药品网络销售监督管理办法》第三十四条第三款“处1万元以上3万元以下的罚款”裁量基准的规定。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19"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687" w:type="dxa"/>
            <w:noWrap w:val="0"/>
            <w:vAlign w:val="center"/>
          </w:tcPr>
          <w:p>
            <w:pPr>
              <w:widowControl w:val="0"/>
              <w:snapToGrid w:val="0"/>
              <w:spacing w:line="400" w:lineRule="exact"/>
              <w:jc w:val="center"/>
              <w:rPr>
                <w:rFonts w:hint="eastAsia" w:ascii="Times New Roman" w:hAnsi="Times New Roman" w:eastAsia="宋体" w:cs="Times New Roman"/>
                <w:b/>
                <w:snapToGrid w:val="0"/>
                <w:kern w:val="2"/>
                <w:sz w:val="21"/>
                <w:szCs w:val="24"/>
                <w:lang w:val="en-US" w:eastAsia="zh-CN" w:bidi="ar-SA"/>
              </w:rPr>
            </w:pPr>
            <w:r>
              <w:rPr>
                <w:rFonts w:hint="eastAsia" w:ascii="Times New Roman" w:hAnsi="Times New Roman" w:eastAsia="宋体" w:cs="Times New Roman"/>
                <w:b/>
                <w:snapToGrid w:val="0"/>
                <w:kern w:val="2"/>
                <w:sz w:val="21"/>
                <w:szCs w:val="24"/>
                <w:lang w:val="en-US" w:eastAsia="zh-CN" w:bidi="ar-SA"/>
              </w:rPr>
              <w:t>关联法条</w:t>
            </w:r>
          </w:p>
        </w:tc>
        <w:tc>
          <w:tcPr>
            <w:tcW w:w="12041" w:type="dxa"/>
            <w:gridSpan w:val="4"/>
            <w:tcBorders>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eastAsia"/>
                <w:sz w:val="21"/>
                <w:lang w:val="en-US" w:eastAsia="zh-CN"/>
              </w:rPr>
            </w:pPr>
            <w:r>
              <w:rPr>
                <w:rFonts w:hint="eastAsia"/>
                <w:sz w:val="21"/>
                <w:lang w:val="en-US" w:eastAsia="zh-CN"/>
              </w:rPr>
              <w:t>《药品网络销售监督管理办法》第三十四条第三款 违反本办法第九条第四款的规定，责令限期改正，处1万元以上3万元以下罚款；情节严重的，处3万元以上5万元以下罚款。</w:t>
            </w:r>
          </w:p>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ascii="Times New Roman" w:hAnsi="Times New Roman" w:eastAsia="宋体" w:cs="Times New Roman"/>
                <w:snapToGrid w:val="0"/>
                <w:kern w:val="2"/>
                <w:sz w:val="21"/>
                <w:szCs w:val="24"/>
                <w:lang w:val="en-US" w:eastAsia="zh-CN" w:bidi="ar-SA"/>
              </w:rPr>
            </w:pPr>
            <w:r>
              <w:rPr>
                <w:rFonts w:hint="eastAsia"/>
                <w:sz w:val="21"/>
                <w:lang w:val="en-US" w:eastAsia="zh-CN"/>
              </w:rPr>
              <w:t>《药品网络销售监督管理办法》第九条第四款 药品网络零售企业接收的处方为纸质处方影印版本的，应当采取有效措施避免处方重复使用。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619"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687" w:type="dxa"/>
            <w:tcBorders>
              <w:top w:val="single" w:color="000000" w:sz="8" w:space="0"/>
              <w:left w:val="single" w:color="000000" w:sz="8" w:space="0"/>
              <w:bottom w:val="single" w:color="000000" w:sz="8" w:space="0"/>
              <w:right w:val="single" w:color="000000" w:sz="8" w:space="0"/>
            </w:tcBorders>
            <w:noWrap w:val="0"/>
            <w:vAlign w:val="center"/>
          </w:tcPr>
          <w:p>
            <w:pPr>
              <w:widowControl w:val="0"/>
              <w:snapToGrid w:val="0"/>
              <w:spacing w:line="400" w:lineRule="exact"/>
              <w:jc w:val="center"/>
              <w:rPr>
                <w:rFonts w:ascii="Times New Roman" w:hAnsi="Times New Roman" w:eastAsia="Microsoft JhengHei" w:cs="Times New Roman"/>
                <w:b/>
                <w:snapToGrid w:val="0"/>
                <w:kern w:val="2"/>
                <w:sz w:val="21"/>
                <w:szCs w:val="24"/>
                <w:lang w:val="en-US" w:eastAsia="zh-CN" w:bidi="ar-SA"/>
              </w:rPr>
            </w:pPr>
            <w:r>
              <w:rPr>
                <w:rFonts w:hint="eastAsia" w:ascii="Times New Roman" w:hAnsi="Times New Roman" w:eastAsia="Microsoft JhengHei" w:cs="Times New Roman"/>
                <w:b/>
                <w:snapToGrid w:val="0"/>
                <w:kern w:val="2"/>
                <w:sz w:val="21"/>
                <w:szCs w:val="24"/>
                <w:lang w:val="en-US" w:eastAsia="zh-CN" w:bidi="ar-SA"/>
              </w:rPr>
              <w:t>裁量等级</w:t>
            </w:r>
          </w:p>
        </w:tc>
        <w:tc>
          <w:tcPr>
            <w:tcW w:w="2719"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减轻处罚幅度</w:t>
            </w:r>
          </w:p>
        </w:tc>
        <w:tc>
          <w:tcPr>
            <w:tcW w:w="3094"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从轻处罚幅度</w:t>
            </w:r>
          </w:p>
        </w:tc>
        <w:tc>
          <w:tcPr>
            <w:tcW w:w="2943"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一般处罚幅度</w:t>
            </w:r>
          </w:p>
        </w:tc>
        <w:tc>
          <w:tcPr>
            <w:tcW w:w="3285"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619"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687" w:type="dxa"/>
            <w:tcBorders>
              <w:top w:val="single" w:color="000000" w:sz="8" w:space="0"/>
              <w:left w:val="single" w:color="000000" w:sz="8" w:space="0"/>
              <w:bottom w:val="single" w:color="000000" w:sz="8" w:space="0"/>
              <w:right w:val="single" w:color="000000" w:sz="8" w:space="0"/>
            </w:tcBorders>
            <w:noWrap w:val="0"/>
            <w:vAlign w:val="center"/>
          </w:tcPr>
          <w:p>
            <w:pPr>
              <w:widowControl w:val="0"/>
              <w:snapToGrid w:val="0"/>
              <w:spacing w:line="400" w:lineRule="exact"/>
              <w:jc w:val="center"/>
              <w:rPr>
                <w:rFonts w:ascii="Times New Roman" w:hAnsi="Times New Roman" w:eastAsia="Microsoft JhengHei" w:cs="Times New Roman"/>
                <w:b/>
                <w:snapToGrid w:val="0"/>
                <w:color w:val="000000"/>
                <w:kern w:val="2"/>
                <w:sz w:val="21"/>
                <w:szCs w:val="24"/>
                <w:lang w:val="en-US" w:eastAsia="zh-CN" w:bidi="ar-SA"/>
              </w:rPr>
            </w:pPr>
            <w:r>
              <w:rPr>
                <w:rFonts w:hint="eastAsia" w:ascii="Times New Roman" w:hAnsi="Times New Roman" w:eastAsia="Microsoft JhengHei" w:cs="Times New Roman"/>
                <w:b/>
                <w:snapToGrid w:val="0"/>
                <w:color w:val="000000"/>
                <w:kern w:val="2"/>
                <w:sz w:val="21"/>
                <w:szCs w:val="24"/>
                <w:lang w:val="en-US" w:eastAsia="zh-CN" w:bidi="ar-SA"/>
              </w:rPr>
              <w:t>裁量基准</w:t>
            </w:r>
          </w:p>
        </w:tc>
        <w:tc>
          <w:tcPr>
            <w:tcW w:w="2719"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r>
              <w:rPr>
                <w:rFonts w:hint="eastAsia"/>
                <w:sz w:val="21"/>
                <w:lang w:val="en-US" w:eastAsia="zh-CN"/>
              </w:rPr>
              <w:t>符合裁量规则减轻行政处罚情形的，处1万元以下的罚款。</w:t>
            </w:r>
          </w:p>
        </w:tc>
        <w:tc>
          <w:tcPr>
            <w:tcW w:w="3094"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从轻行政处罚，处1万元至1.6万元的罚款。</w:t>
            </w:r>
          </w:p>
        </w:tc>
        <w:tc>
          <w:tcPr>
            <w:tcW w:w="2943"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r>
              <w:rPr>
                <w:rFonts w:hint="eastAsia"/>
                <w:sz w:val="21"/>
                <w:lang w:val="en-US" w:eastAsia="zh-CN"/>
              </w:rPr>
              <w:t>一般行政处罚，处1.6万元以上2.4万元以下的罚款。</w:t>
            </w:r>
          </w:p>
        </w:tc>
        <w:tc>
          <w:tcPr>
            <w:tcW w:w="3285"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从重行政处罚，处2.4万元至3万元的罚款。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0" w:hRule="atLeast"/>
        </w:trPr>
        <w:tc>
          <w:tcPr>
            <w:tcW w:w="619" w:type="dxa"/>
            <w:vMerge w:val="continue"/>
            <w:tcBorders>
              <w:right w:val="single" w:color="000000" w:sz="8" w:space="0"/>
            </w:tcBorders>
            <w:noWrap w:val="0"/>
            <w:vAlign w:val="center"/>
          </w:tcPr>
          <w:p>
            <w:pPr>
              <w:autoSpaceDE/>
              <w:autoSpaceDN/>
              <w:snapToGrid w:val="0"/>
              <w:spacing w:line="400" w:lineRule="exact"/>
              <w:jc w:val="both"/>
              <w:rPr>
                <w:rFonts w:ascii="Times New Roman" w:hAnsi="Times New Roman" w:cs="Times New Roman"/>
                <w:snapToGrid w:val="0"/>
                <w:kern w:val="2"/>
                <w:sz w:val="2"/>
                <w:szCs w:val="2"/>
                <w:lang w:val="en-US" w:bidi="ar-SA"/>
              </w:rPr>
            </w:pPr>
          </w:p>
        </w:tc>
        <w:tc>
          <w:tcPr>
            <w:tcW w:w="1687" w:type="dxa"/>
            <w:tcBorders>
              <w:top w:val="single" w:color="000000" w:sz="8" w:space="0"/>
              <w:left w:val="single" w:color="000000" w:sz="8"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80" w:lineRule="exact"/>
              <w:jc w:val="both"/>
              <w:textAlignment w:val="auto"/>
              <w:rPr>
                <w:rFonts w:hint="eastAsia" w:ascii="Times New Roman" w:hAnsi="Times New Roman" w:eastAsia="宋体" w:cs="Times New Roman"/>
                <w:snapToGrid w:val="0"/>
                <w:kern w:val="2"/>
                <w:sz w:val="21"/>
                <w:szCs w:val="24"/>
                <w:lang w:val="en-US" w:eastAsia="zh-CN" w:bidi="ar-SA"/>
              </w:rPr>
            </w:pPr>
            <w:r>
              <w:rPr>
                <w:rFonts w:hint="eastAsia" w:ascii="Times New Roman" w:hAnsi="Times New Roman" w:eastAsia="Microsoft JhengHei" w:cs="Times New Roman"/>
                <w:b/>
                <w:snapToGrid w:val="0"/>
                <w:kern w:val="2"/>
                <w:sz w:val="21"/>
                <w:szCs w:val="24"/>
                <w:lang w:val="en-US" w:eastAsia="zh-CN" w:bidi="ar-SA"/>
              </w:rPr>
              <w:t>裁量因素</w:t>
            </w:r>
            <w:r>
              <w:rPr>
                <w:rFonts w:hint="eastAsia" w:ascii="Times New Roman" w:hAnsi="Times New Roman" w:eastAsia="Microsoft JhengHei" w:cs="Times New Roman"/>
                <w:bCs/>
                <w:snapToGrid w:val="0"/>
                <w:kern w:val="2"/>
                <w:sz w:val="21"/>
                <w:szCs w:val="24"/>
                <w:lang w:val="en-US" w:eastAsia="zh-CN" w:bidi="ar-SA"/>
              </w:rPr>
              <w:t>（是指在进行裁量时，除裁量规则规定的从轻、减轻、从重情形外，可以考虑的因素）</w:t>
            </w:r>
          </w:p>
        </w:tc>
        <w:tc>
          <w:tcPr>
            <w:tcW w:w="12041" w:type="dxa"/>
            <w:gridSpan w:val="4"/>
            <w:tcBorders>
              <w:top w:val="single" w:color="000000" w:sz="8" w:space="0"/>
              <w:left w:val="single" w:color="auto" w:sz="4" w:space="0"/>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right="0"/>
              <w:jc w:val="left"/>
              <w:textAlignment w:val="auto"/>
              <w:rPr>
                <w:rFonts w:hint="default"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从轻处罚考虑因素</w:t>
            </w:r>
            <w:r>
              <w:rPr>
                <w:rFonts w:hint="eastAsia" w:ascii="宋体" w:hAnsi="宋体" w:eastAsia="宋体" w:cs="宋体"/>
                <w:b w:val="0"/>
                <w:bCs w:val="0"/>
                <w:snapToGrid w:val="0"/>
                <w:color w:val="000000"/>
                <w:kern w:val="0"/>
                <w:sz w:val="21"/>
                <w:szCs w:val="21"/>
                <w:lang w:val="en-US" w:eastAsia="zh-CN" w:bidi="ar"/>
              </w:rPr>
              <w:t>：</w:t>
            </w:r>
            <w:r>
              <w:rPr>
                <w:rFonts w:hint="eastAsia" w:ascii="宋体" w:hAnsi="宋体" w:cs="宋体"/>
                <w:b w:val="0"/>
                <w:bCs w:val="0"/>
                <w:snapToGrid w:val="0"/>
                <w:color w:val="000000"/>
                <w:kern w:val="0"/>
                <w:sz w:val="21"/>
                <w:szCs w:val="21"/>
                <w:lang w:val="en-US" w:eastAsia="zh-CN" w:bidi="ar"/>
              </w:rPr>
              <w:t>违法行为时间小于3个月且销售处方药数量、金额较小未造成危害后果。</w:t>
            </w:r>
          </w:p>
          <w:p>
            <w:pPr>
              <w:widowControl w:val="0"/>
              <w:snapToGrid w:val="0"/>
              <w:spacing w:line="400" w:lineRule="exact"/>
              <w:jc w:val="both"/>
              <w:rPr>
                <w:rFonts w:hint="eastAsia" w:ascii="Times New Roman" w:hAnsi="Times New Roman" w:eastAsia="宋体" w:cs="Times New Roman"/>
                <w:snapToGrid w:val="0"/>
                <w:kern w:val="2"/>
                <w:sz w:val="21"/>
                <w:szCs w:val="24"/>
                <w:lang w:val="en-US" w:eastAsia="zh-CN" w:bidi="ar-SA"/>
              </w:rPr>
            </w:pPr>
          </w:p>
        </w:tc>
      </w:tr>
    </w:tbl>
    <w:p>
      <w:pPr>
        <w:pStyle w:val="11"/>
        <w:keepNext w:val="0"/>
        <w:keepLines w:val="0"/>
        <w:pageBreakBefore w:val="0"/>
        <w:widowControl w:val="0"/>
        <w:kinsoku/>
        <w:wordWrap/>
        <w:overflowPunct/>
        <w:topLinePunct w:val="0"/>
        <w:autoSpaceDE w:val="0"/>
        <w:autoSpaceDN w:val="0"/>
        <w:bidi w:val="0"/>
        <w:adjustRightInd/>
        <w:snapToGrid/>
        <w:spacing w:line="240" w:lineRule="auto"/>
        <w:ind w:right="0" w:firstLine="421" w:firstLineChars="200"/>
        <w:jc w:val="both"/>
        <w:textAlignment w:val="auto"/>
        <w:rPr>
          <w:rFonts w:hint="eastAsia" w:ascii="Microsoft JhengHei"/>
          <w:b/>
          <w:sz w:val="21"/>
          <w:lang w:val="en-US" w:eastAsia="zh-CN"/>
        </w:rPr>
        <w:sectPr>
          <w:pgSz w:w="16838" w:h="11906" w:orient="landscape"/>
          <w:pgMar w:top="1800" w:right="1440" w:bottom="1800" w:left="1440" w:header="851" w:footer="992" w:gutter="0"/>
          <w:pgNumType w:fmt="decimal"/>
          <w:cols w:space="720" w:num="1"/>
          <w:docGrid w:type="lines" w:linePitch="312" w:charSpace="0"/>
        </w:sectPr>
      </w:pPr>
    </w:p>
    <w:tbl>
      <w:tblPr>
        <w:tblStyle w:val="8"/>
        <w:tblpPr w:leftFromText="180" w:rightFromText="180" w:vertAnchor="page" w:horzAnchor="page" w:tblpX="1369" w:tblpY="2055"/>
        <w:tblOverlap w:val="never"/>
        <w:tblW w:w="140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3"/>
        <w:gridCol w:w="1732"/>
        <w:gridCol w:w="2757"/>
        <w:gridCol w:w="3093"/>
        <w:gridCol w:w="2925"/>
        <w:gridCol w:w="2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23" w:type="dxa"/>
            <w:vMerge w:val="restart"/>
            <w:tcBorders>
              <w:top w:val="single" w:color="auto" w:sz="4" w:space="0"/>
              <w:bottom w:val="nil"/>
              <w:right w:val="single" w:color="000000" w:sz="8" w:space="0"/>
            </w:tcBorders>
            <w:noWrap w:val="0"/>
            <w:vAlign w:val="center"/>
          </w:tcPr>
          <w:p>
            <w:pPr>
              <w:widowControl w:val="0"/>
              <w:snapToGrid w:val="0"/>
              <w:spacing w:line="400" w:lineRule="exact"/>
              <w:jc w:val="center"/>
              <w:rPr>
                <w:rFonts w:hint="default" w:ascii="Times New Roman" w:hAnsi="Times New Roman" w:eastAsia="宋体" w:cs="Times New Roman"/>
                <w:b/>
                <w:snapToGrid w:val="0"/>
                <w:kern w:val="2"/>
                <w:sz w:val="21"/>
                <w:szCs w:val="24"/>
                <w:lang w:val="en-US" w:eastAsia="zh-CN" w:bidi="ar-SA"/>
              </w:rPr>
            </w:pPr>
            <w:r>
              <w:rPr>
                <w:rFonts w:hint="eastAsia" w:ascii="Times New Roman" w:hAnsi="Times New Roman" w:cs="Times New Roman"/>
                <w:b/>
                <w:snapToGrid w:val="0"/>
                <w:kern w:val="2"/>
                <w:sz w:val="21"/>
                <w:szCs w:val="24"/>
                <w:lang w:val="en-US" w:eastAsia="zh-CN" w:bidi="ar-SA"/>
              </w:rPr>
              <w:t>24</w:t>
            </w:r>
          </w:p>
        </w:tc>
        <w:tc>
          <w:tcPr>
            <w:tcW w:w="1732" w:type="dxa"/>
            <w:noWrap w:val="0"/>
            <w:vAlign w:val="center"/>
          </w:tcPr>
          <w:p>
            <w:pPr>
              <w:widowControl w:val="0"/>
              <w:snapToGrid w:val="0"/>
              <w:spacing w:line="400" w:lineRule="exact"/>
              <w:jc w:val="center"/>
              <w:rPr>
                <w:rFonts w:hint="eastAsia" w:ascii="Times New Roman" w:hAnsi="Times New Roman" w:eastAsia="宋体" w:cs="Times New Roman"/>
                <w:b/>
                <w:snapToGrid w:val="0"/>
                <w:kern w:val="2"/>
                <w:sz w:val="21"/>
                <w:szCs w:val="24"/>
                <w:lang w:val="en-US" w:eastAsia="zh-CN" w:bidi="ar-SA"/>
              </w:rPr>
            </w:pPr>
            <w:r>
              <w:rPr>
                <w:rFonts w:hint="eastAsia" w:ascii="Times New Roman" w:hAnsi="Times New Roman" w:eastAsia="宋体" w:cs="Times New Roman"/>
                <w:b/>
                <w:snapToGrid w:val="0"/>
                <w:kern w:val="2"/>
                <w:sz w:val="21"/>
                <w:szCs w:val="24"/>
                <w:lang w:val="en-US" w:eastAsia="zh-CN" w:bidi="ar-SA"/>
              </w:rPr>
              <w:t>裁量条款</w:t>
            </w:r>
          </w:p>
        </w:tc>
        <w:tc>
          <w:tcPr>
            <w:tcW w:w="11736" w:type="dxa"/>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ascii="Times New Roman" w:hAnsi="Times New Roman" w:eastAsia="宋体" w:cs="Times New Roman"/>
                <w:b/>
                <w:snapToGrid w:val="0"/>
                <w:kern w:val="2"/>
                <w:sz w:val="21"/>
                <w:szCs w:val="24"/>
                <w:lang w:val="en-US" w:eastAsia="zh-CN" w:bidi="ar-SA"/>
              </w:rPr>
            </w:pPr>
            <w:r>
              <w:rPr>
                <w:rFonts w:hint="eastAsia" w:ascii="Microsoft JhengHei"/>
                <w:b/>
                <w:sz w:val="21"/>
                <w:lang w:val="en-US" w:eastAsia="zh-CN"/>
              </w:rPr>
              <w:t>第二十四条  本条是对《药品网络销售监督管理办法》第三十四条第三款“处3万元以上5万元以下的罚款”裁量基准的规定。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23"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732" w:type="dxa"/>
            <w:noWrap w:val="0"/>
            <w:vAlign w:val="center"/>
          </w:tcPr>
          <w:p>
            <w:pPr>
              <w:widowControl w:val="0"/>
              <w:snapToGrid w:val="0"/>
              <w:spacing w:line="400" w:lineRule="exact"/>
              <w:jc w:val="center"/>
              <w:rPr>
                <w:rFonts w:hint="eastAsia" w:ascii="Times New Roman" w:hAnsi="Times New Roman" w:eastAsia="宋体" w:cs="Times New Roman"/>
                <w:b/>
                <w:snapToGrid w:val="0"/>
                <w:kern w:val="2"/>
                <w:sz w:val="21"/>
                <w:szCs w:val="24"/>
                <w:lang w:val="en-US" w:eastAsia="zh-CN" w:bidi="ar-SA"/>
              </w:rPr>
            </w:pPr>
            <w:r>
              <w:rPr>
                <w:rFonts w:hint="eastAsia" w:ascii="Times New Roman" w:hAnsi="Times New Roman" w:eastAsia="宋体" w:cs="Times New Roman"/>
                <w:b/>
                <w:snapToGrid w:val="0"/>
                <w:kern w:val="2"/>
                <w:sz w:val="21"/>
                <w:szCs w:val="24"/>
                <w:lang w:val="en-US" w:eastAsia="zh-CN" w:bidi="ar-SA"/>
              </w:rPr>
              <w:t>关联法条</w:t>
            </w:r>
          </w:p>
        </w:tc>
        <w:tc>
          <w:tcPr>
            <w:tcW w:w="11736" w:type="dxa"/>
            <w:gridSpan w:val="4"/>
            <w:tcBorders>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ascii="Times New Roman" w:hAnsi="Times New Roman" w:eastAsia="宋体" w:cs="Times New Roman"/>
                <w:snapToGrid w:val="0"/>
                <w:kern w:val="2"/>
                <w:sz w:val="21"/>
                <w:szCs w:val="24"/>
                <w:lang w:val="en-US" w:eastAsia="zh-CN" w:bidi="ar-SA"/>
              </w:rPr>
            </w:pPr>
            <w:r>
              <w:rPr>
                <w:rFonts w:hint="eastAsia" w:ascii="Times New Roman" w:hAnsi="Times New Roman" w:cs="Times New Roman" w:eastAsiaTheme="minorEastAsia"/>
                <w:snapToGrid w:val="0"/>
                <w:kern w:val="2"/>
                <w:sz w:val="21"/>
                <w:szCs w:val="24"/>
                <w:lang w:val="en-US" w:eastAsia="zh-CN" w:bidi="ar-SA"/>
              </w:rPr>
              <w:t>《</w:t>
            </w:r>
            <w:r>
              <w:rPr>
                <w:rFonts w:hint="eastAsia"/>
                <w:sz w:val="21"/>
                <w:lang w:val="en-US" w:eastAsia="zh-CN"/>
              </w:rPr>
              <w:t xml:space="preserve">药品网络销售监督管理办法》第三十四条第三款 </w:t>
            </w:r>
            <w:r>
              <w:rPr>
                <w:rFonts w:hint="eastAsia"/>
                <w:sz w:val="21"/>
                <w:lang w:val="en-US"/>
              </w:rPr>
              <w:t>（详见本基准第二十</w:t>
            </w:r>
            <w:r>
              <w:rPr>
                <w:rFonts w:hint="eastAsia"/>
                <w:sz w:val="21"/>
                <w:lang w:val="en-US" w:eastAsia="zh-CN"/>
              </w:rPr>
              <w:t>三</w:t>
            </w:r>
            <w:r>
              <w:rPr>
                <w:rFonts w:hint="eastAsia"/>
                <w:sz w:val="21"/>
                <w:lang w:val="en-US"/>
              </w:rPr>
              <w:t>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623"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732" w:type="dxa"/>
            <w:tcBorders>
              <w:top w:val="single" w:color="000000" w:sz="8" w:space="0"/>
              <w:left w:val="single" w:color="000000" w:sz="8" w:space="0"/>
              <w:bottom w:val="single" w:color="000000" w:sz="8" w:space="0"/>
              <w:right w:val="single" w:color="000000" w:sz="8" w:space="0"/>
            </w:tcBorders>
            <w:noWrap w:val="0"/>
            <w:vAlign w:val="center"/>
          </w:tcPr>
          <w:p>
            <w:pPr>
              <w:widowControl w:val="0"/>
              <w:snapToGrid w:val="0"/>
              <w:spacing w:line="400" w:lineRule="exact"/>
              <w:jc w:val="center"/>
              <w:rPr>
                <w:rFonts w:ascii="Times New Roman" w:hAnsi="Times New Roman" w:eastAsia="Microsoft JhengHei" w:cs="Times New Roman"/>
                <w:b/>
                <w:snapToGrid w:val="0"/>
                <w:kern w:val="2"/>
                <w:sz w:val="21"/>
                <w:szCs w:val="24"/>
                <w:lang w:val="en-US" w:eastAsia="zh-CN" w:bidi="ar-SA"/>
              </w:rPr>
            </w:pPr>
            <w:r>
              <w:rPr>
                <w:rFonts w:hint="eastAsia" w:ascii="Times New Roman" w:hAnsi="Times New Roman" w:eastAsia="Microsoft JhengHei" w:cs="Times New Roman"/>
                <w:b/>
                <w:snapToGrid w:val="0"/>
                <w:kern w:val="2"/>
                <w:sz w:val="21"/>
                <w:szCs w:val="24"/>
                <w:lang w:val="en-US" w:eastAsia="zh-CN" w:bidi="ar-SA"/>
              </w:rPr>
              <w:t>裁量等级</w:t>
            </w:r>
          </w:p>
        </w:tc>
        <w:tc>
          <w:tcPr>
            <w:tcW w:w="2757"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减轻处罚幅度</w:t>
            </w:r>
          </w:p>
        </w:tc>
        <w:tc>
          <w:tcPr>
            <w:tcW w:w="3093"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从轻处罚幅度</w:t>
            </w:r>
          </w:p>
        </w:tc>
        <w:tc>
          <w:tcPr>
            <w:tcW w:w="2925"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一般处罚幅度</w:t>
            </w:r>
          </w:p>
        </w:tc>
        <w:tc>
          <w:tcPr>
            <w:tcW w:w="2961"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623"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732" w:type="dxa"/>
            <w:tcBorders>
              <w:top w:val="single" w:color="000000" w:sz="8" w:space="0"/>
              <w:left w:val="single" w:color="000000" w:sz="8" w:space="0"/>
              <w:bottom w:val="single" w:color="000000" w:sz="8" w:space="0"/>
              <w:right w:val="single" w:color="000000" w:sz="8" w:space="0"/>
            </w:tcBorders>
            <w:noWrap w:val="0"/>
            <w:vAlign w:val="center"/>
          </w:tcPr>
          <w:p>
            <w:pPr>
              <w:widowControl w:val="0"/>
              <w:snapToGrid w:val="0"/>
              <w:spacing w:line="400" w:lineRule="exact"/>
              <w:jc w:val="center"/>
              <w:rPr>
                <w:rFonts w:ascii="Times New Roman" w:hAnsi="Times New Roman" w:eastAsia="Microsoft JhengHei" w:cs="Times New Roman"/>
                <w:b/>
                <w:snapToGrid w:val="0"/>
                <w:color w:val="000000"/>
                <w:kern w:val="2"/>
                <w:sz w:val="21"/>
                <w:szCs w:val="24"/>
                <w:lang w:val="en-US" w:eastAsia="zh-CN" w:bidi="ar-SA"/>
              </w:rPr>
            </w:pPr>
            <w:r>
              <w:rPr>
                <w:rFonts w:hint="eastAsia" w:ascii="Times New Roman" w:hAnsi="Times New Roman" w:eastAsia="Microsoft JhengHei" w:cs="Times New Roman"/>
                <w:b/>
                <w:snapToGrid w:val="0"/>
                <w:color w:val="000000"/>
                <w:kern w:val="2"/>
                <w:sz w:val="21"/>
                <w:szCs w:val="24"/>
                <w:lang w:val="en-US" w:eastAsia="zh-CN" w:bidi="ar-SA"/>
              </w:rPr>
              <w:t>裁量基准</w:t>
            </w:r>
          </w:p>
        </w:tc>
        <w:tc>
          <w:tcPr>
            <w:tcW w:w="2757"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p>
        </w:tc>
        <w:tc>
          <w:tcPr>
            <w:tcW w:w="3093"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从轻行政处罚，处3万元至3.6万元的罚款。</w:t>
            </w:r>
          </w:p>
        </w:tc>
        <w:tc>
          <w:tcPr>
            <w:tcW w:w="2925"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r>
              <w:rPr>
                <w:rFonts w:hint="eastAsia"/>
                <w:sz w:val="21"/>
                <w:lang w:val="en-US" w:eastAsia="zh-CN"/>
              </w:rPr>
              <w:t>一般行政处罚，处3.6万元以上4.4万元以下的罚款。</w:t>
            </w:r>
          </w:p>
        </w:tc>
        <w:tc>
          <w:tcPr>
            <w:tcW w:w="2961"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从重行政处罚，处4.4万元至5万元的罚款。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623" w:type="dxa"/>
            <w:vMerge w:val="continue"/>
            <w:tcBorders>
              <w:right w:val="single" w:color="000000" w:sz="8" w:space="0"/>
            </w:tcBorders>
            <w:noWrap w:val="0"/>
            <w:vAlign w:val="center"/>
          </w:tcPr>
          <w:p>
            <w:pPr>
              <w:autoSpaceDE/>
              <w:autoSpaceDN/>
              <w:snapToGrid w:val="0"/>
              <w:spacing w:line="400" w:lineRule="exact"/>
              <w:jc w:val="both"/>
              <w:rPr>
                <w:rFonts w:ascii="Times New Roman" w:hAnsi="Times New Roman" w:cs="Times New Roman"/>
                <w:snapToGrid w:val="0"/>
                <w:kern w:val="2"/>
                <w:sz w:val="2"/>
                <w:szCs w:val="2"/>
                <w:lang w:val="en-US" w:bidi="ar-SA"/>
              </w:rPr>
            </w:pPr>
          </w:p>
        </w:tc>
        <w:tc>
          <w:tcPr>
            <w:tcW w:w="1732" w:type="dxa"/>
            <w:tcBorders>
              <w:top w:val="single" w:color="000000" w:sz="8" w:space="0"/>
              <w:left w:val="single" w:color="000000" w:sz="8"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80" w:lineRule="exact"/>
              <w:jc w:val="both"/>
              <w:textAlignment w:val="auto"/>
              <w:rPr>
                <w:rFonts w:hint="eastAsia" w:ascii="Times New Roman" w:hAnsi="Times New Roman" w:eastAsia="宋体" w:cs="Times New Roman"/>
                <w:snapToGrid w:val="0"/>
                <w:kern w:val="2"/>
                <w:sz w:val="21"/>
                <w:szCs w:val="24"/>
                <w:lang w:val="en-US" w:eastAsia="zh-CN" w:bidi="ar-SA"/>
              </w:rPr>
            </w:pPr>
            <w:r>
              <w:rPr>
                <w:rFonts w:hint="eastAsia" w:ascii="Times New Roman" w:hAnsi="Times New Roman" w:eastAsia="Microsoft JhengHei" w:cs="Times New Roman"/>
                <w:b/>
                <w:snapToGrid w:val="0"/>
                <w:kern w:val="2"/>
                <w:sz w:val="21"/>
                <w:szCs w:val="24"/>
                <w:lang w:val="en-US" w:eastAsia="zh-CN" w:bidi="ar-SA"/>
              </w:rPr>
              <w:t>裁量因素</w:t>
            </w:r>
            <w:r>
              <w:rPr>
                <w:rFonts w:hint="eastAsia" w:ascii="Times New Roman" w:hAnsi="Times New Roman" w:eastAsia="Microsoft JhengHei" w:cs="Times New Roman"/>
                <w:bCs/>
                <w:snapToGrid w:val="0"/>
                <w:kern w:val="2"/>
                <w:sz w:val="21"/>
                <w:szCs w:val="24"/>
                <w:lang w:val="en-US" w:eastAsia="zh-CN" w:bidi="ar-SA"/>
              </w:rPr>
              <w:t>（是指在进行裁量时，除裁量规则规定的从轻、减轻、从重情形外，可以考虑的因素）</w:t>
            </w:r>
          </w:p>
        </w:tc>
        <w:tc>
          <w:tcPr>
            <w:tcW w:w="11736" w:type="dxa"/>
            <w:gridSpan w:val="4"/>
            <w:tcBorders>
              <w:top w:val="single" w:color="000000" w:sz="8" w:space="0"/>
              <w:left w:val="single" w:color="auto" w:sz="4" w:space="0"/>
              <w:bottom w:val="single" w:color="auto" w:sz="4" w:space="0"/>
              <w:right w:val="single" w:color="000000" w:sz="8" w:space="0"/>
            </w:tcBorders>
            <w:noWrap w:val="0"/>
            <w:vAlign w:val="center"/>
          </w:tcPr>
          <w:p>
            <w:pPr>
              <w:widowControl w:val="0"/>
              <w:snapToGrid w:val="0"/>
              <w:spacing w:line="400" w:lineRule="exact"/>
              <w:jc w:val="both"/>
              <w:rPr>
                <w:rFonts w:hint="eastAsia" w:ascii="Times New Roman" w:hAnsi="Times New Roman" w:eastAsia="宋体" w:cs="Times New Roman"/>
                <w:snapToGrid w:val="0"/>
                <w:kern w:val="2"/>
                <w:sz w:val="21"/>
                <w:szCs w:val="24"/>
                <w:lang w:val="en-US" w:eastAsia="zh-CN" w:bidi="ar-SA"/>
              </w:rPr>
            </w:pPr>
          </w:p>
        </w:tc>
      </w:tr>
    </w:tbl>
    <w:p>
      <w:pPr>
        <w:pStyle w:val="11"/>
        <w:keepNext w:val="0"/>
        <w:keepLines w:val="0"/>
        <w:pageBreakBefore w:val="0"/>
        <w:widowControl w:val="0"/>
        <w:kinsoku/>
        <w:wordWrap/>
        <w:overflowPunct/>
        <w:topLinePunct w:val="0"/>
        <w:autoSpaceDE w:val="0"/>
        <w:autoSpaceDN w:val="0"/>
        <w:bidi w:val="0"/>
        <w:adjustRightInd/>
        <w:snapToGrid/>
        <w:spacing w:line="240" w:lineRule="auto"/>
        <w:ind w:right="0" w:firstLine="421" w:firstLineChars="200"/>
        <w:jc w:val="both"/>
        <w:textAlignment w:val="auto"/>
        <w:rPr>
          <w:rFonts w:hint="eastAsia" w:ascii="Microsoft JhengHei"/>
          <w:b/>
          <w:sz w:val="21"/>
          <w:lang w:val="en-US" w:eastAsia="zh-CN"/>
        </w:rPr>
      </w:pPr>
    </w:p>
    <w:p>
      <w:pPr>
        <w:pStyle w:val="11"/>
        <w:keepNext w:val="0"/>
        <w:keepLines w:val="0"/>
        <w:pageBreakBefore w:val="0"/>
        <w:widowControl w:val="0"/>
        <w:kinsoku/>
        <w:wordWrap/>
        <w:overflowPunct/>
        <w:topLinePunct w:val="0"/>
        <w:autoSpaceDE w:val="0"/>
        <w:autoSpaceDN w:val="0"/>
        <w:bidi w:val="0"/>
        <w:adjustRightInd/>
        <w:snapToGrid/>
        <w:spacing w:line="240" w:lineRule="auto"/>
        <w:ind w:right="0" w:firstLine="421" w:firstLineChars="200"/>
        <w:jc w:val="both"/>
        <w:textAlignment w:val="auto"/>
        <w:rPr>
          <w:rFonts w:hint="eastAsia" w:ascii="Microsoft JhengHei"/>
          <w:b/>
          <w:sz w:val="21"/>
          <w:lang w:val="en-US" w:eastAsia="zh-CN"/>
        </w:rPr>
      </w:pPr>
    </w:p>
    <w:p>
      <w:pPr>
        <w:pStyle w:val="11"/>
        <w:keepNext w:val="0"/>
        <w:keepLines w:val="0"/>
        <w:pageBreakBefore w:val="0"/>
        <w:widowControl w:val="0"/>
        <w:kinsoku/>
        <w:wordWrap/>
        <w:overflowPunct/>
        <w:topLinePunct w:val="0"/>
        <w:autoSpaceDE w:val="0"/>
        <w:autoSpaceDN w:val="0"/>
        <w:bidi w:val="0"/>
        <w:adjustRightInd/>
        <w:snapToGrid/>
        <w:spacing w:line="240" w:lineRule="auto"/>
        <w:ind w:right="0" w:firstLine="421" w:firstLineChars="200"/>
        <w:jc w:val="both"/>
        <w:textAlignment w:val="auto"/>
        <w:rPr>
          <w:rFonts w:hint="eastAsia" w:ascii="Microsoft JhengHei"/>
          <w:b/>
          <w:sz w:val="21"/>
          <w:lang w:val="en-US" w:eastAsia="zh-CN"/>
        </w:rPr>
        <w:sectPr>
          <w:pgSz w:w="16838" w:h="11906" w:orient="landscape"/>
          <w:pgMar w:top="1800" w:right="1440" w:bottom="1800" w:left="1440" w:header="851" w:footer="992" w:gutter="0"/>
          <w:pgNumType w:fmt="decimal"/>
          <w:cols w:space="720" w:num="1"/>
          <w:docGrid w:type="lines" w:linePitch="312" w:charSpace="0"/>
        </w:sectPr>
      </w:pPr>
    </w:p>
    <w:tbl>
      <w:tblPr>
        <w:tblStyle w:val="8"/>
        <w:tblpPr w:leftFromText="180" w:rightFromText="180" w:vertAnchor="page" w:horzAnchor="page" w:tblpX="1343" w:tblpY="2004"/>
        <w:tblOverlap w:val="never"/>
        <w:tblW w:w="142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1768"/>
        <w:gridCol w:w="2732"/>
        <w:gridCol w:w="3057"/>
        <w:gridCol w:w="2962"/>
        <w:gridCol w:w="3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trPr>
        <w:tc>
          <w:tcPr>
            <w:tcW w:w="656" w:type="dxa"/>
            <w:vMerge w:val="restart"/>
            <w:tcBorders>
              <w:top w:val="single" w:color="auto" w:sz="4" w:space="0"/>
              <w:bottom w:val="nil"/>
              <w:right w:val="single" w:color="000000" w:sz="8" w:space="0"/>
            </w:tcBorders>
            <w:noWrap w:val="0"/>
            <w:vAlign w:val="center"/>
          </w:tcPr>
          <w:p>
            <w:pPr>
              <w:widowControl w:val="0"/>
              <w:snapToGrid w:val="0"/>
              <w:spacing w:line="400" w:lineRule="exact"/>
              <w:jc w:val="center"/>
              <w:rPr>
                <w:rFonts w:hint="default" w:ascii="Times New Roman" w:hAnsi="Times New Roman" w:eastAsia="宋体" w:cs="Times New Roman"/>
                <w:b/>
                <w:snapToGrid w:val="0"/>
                <w:kern w:val="2"/>
                <w:sz w:val="21"/>
                <w:szCs w:val="24"/>
                <w:lang w:val="en-US" w:eastAsia="zh-CN" w:bidi="ar-SA"/>
              </w:rPr>
            </w:pPr>
            <w:r>
              <w:rPr>
                <w:rFonts w:hint="eastAsia" w:ascii="Times New Roman" w:hAnsi="Times New Roman" w:cs="Times New Roman"/>
                <w:b/>
                <w:snapToGrid w:val="0"/>
                <w:kern w:val="2"/>
                <w:sz w:val="21"/>
                <w:szCs w:val="24"/>
                <w:lang w:val="en-US" w:eastAsia="zh-CN" w:bidi="ar-SA"/>
              </w:rPr>
              <w:t>25</w:t>
            </w:r>
          </w:p>
        </w:tc>
        <w:tc>
          <w:tcPr>
            <w:tcW w:w="1768" w:type="dxa"/>
            <w:noWrap w:val="0"/>
            <w:vAlign w:val="center"/>
          </w:tcPr>
          <w:p>
            <w:pPr>
              <w:widowControl w:val="0"/>
              <w:snapToGrid w:val="0"/>
              <w:spacing w:line="400" w:lineRule="exact"/>
              <w:jc w:val="center"/>
              <w:rPr>
                <w:rFonts w:hint="eastAsia" w:ascii="Times New Roman" w:hAnsi="Times New Roman" w:eastAsia="宋体" w:cs="Times New Roman"/>
                <w:b/>
                <w:snapToGrid w:val="0"/>
                <w:kern w:val="2"/>
                <w:sz w:val="21"/>
                <w:szCs w:val="24"/>
                <w:lang w:val="en-US" w:eastAsia="zh-CN" w:bidi="ar-SA"/>
              </w:rPr>
            </w:pPr>
            <w:r>
              <w:rPr>
                <w:rFonts w:hint="eastAsia" w:ascii="Times New Roman" w:hAnsi="Times New Roman" w:eastAsia="宋体" w:cs="Times New Roman"/>
                <w:b/>
                <w:snapToGrid w:val="0"/>
                <w:kern w:val="2"/>
                <w:sz w:val="21"/>
                <w:szCs w:val="24"/>
                <w:lang w:val="en-US" w:eastAsia="zh-CN" w:bidi="ar-SA"/>
              </w:rPr>
              <w:t>裁量条款</w:t>
            </w:r>
          </w:p>
        </w:tc>
        <w:tc>
          <w:tcPr>
            <w:tcW w:w="11861" w:type="dxa"/>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ascii="Times New Roman" w:hAnsi="Times New Roman" w:eastAsia="宋体" w:cs="Times New Roman"/>
                <w:b/>
                <w:snapToGrid w:val="0"/>
                <w:kern w:val="2"/>
                <w:sz w:val="21"/>
                <w:szCs w:val="24"/>
                <w:lang w:val="en-US" w:eastAsia="zh-CN" w:bidi="ar-SA"/>
              </w:rPr>
            </w:pPr>
            <w:r>
              <w:rPr>
                <w:rFonts w:hint="eastAsia" w:ascii="Microsoft JhengHei"/>
                <w:b/>
                <w:sz w:val="21"/>
                <w:lang w:val="en-US" w:eastAsia="zh-CN"/>
              </w:rPr>
              <w:t>第二十五条  本条是对《药品网络销售监督管理办法》第三十五条“处1万元以上3万元以下的罚款”裁量基准的规定。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56"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768" w:type="dxa"/>
            <w:noWrap w:val="0"/>
            <w:vAlign w:val="center"/>
          </w:tcPr>
          <w:p>
            <w:pPr>
              <w:widowControl w:val="0"/>
              <w:snapToGrid w:val="0"/>
              <w:spacing w:line="400" w:lineRule="exact"/>
              <w:jc w:val="center"/>
              <w:rPr>
                <w:rFonts w:hint="eastAsia" w:ascii="Times New Roman" w:hAnsi="Times New Roman" w:eastAsia="宋体" w:cs="Times New Roman"/>
                <w:b/>
                <w:snapToGrid w:val="0"/>
                <w:kern w:val="2"/>
                <w:sz w:val="21"/>
                <w:szCs w:val="24"/>
                <w:lang w:val="en-US" w:eastAsia="zh-CN" w:bidi="ar-SA"/>
              </w:rPr>
            </w:pPr>
            <w:r>
              <w:rPr>
                <w:rFonts w:hint="eastAsia" w:ascii="Times New Roman" w:hAnsi="Times New Roman" w:eastAsia="宋体" w:cs="Times New Roman"/>
                <w:b/>
                <w:snapToGrid w:val="0"/>
                <w:kern w:val="2"/>
                <w:sz w:val="21"/>
                <w:szCs w:val="24"/>
                <w:lang w:val="en-US" w:eastAsia="zh-CN" w:bidi="ar-SA"/>
              </w:rPr>
              <w:t>关联法条</w:t>
            </w:r>
          </w:p>
        </w:tc>
        <w:tc>
          <w:tcPr>
            <w:tcW w:w="11861" w:type="dxa"/>
            <w:gridSpan w:val="4"/>
            <w:tcBorders>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eastAsia"/>
                <w:sz w:val="21"/>
                <w:lang w:val="en-US" w:eastAsia="zh-CN"/>
              </w:rPr>
            </w:pPr>
            <w:r>
              <w:rPr>
                <w:rFonts w:hint="eastAsia"/>
                <w:sz w:val="21"/>
                <w:lang w:val="en-US" w:eastAsia="zh-CN"/>
              </w:rPr>
              <w:t>《药品网络销售监督管理办法》第三十五条 违反本办法第十一条的规定，责令限期改正；逾期不改正的，处1万元以上3万元以下罚款；情节严重的，处3万元以上5万元以下罚款。</w:t>
            </w:r>
          </w:p>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eastAsia"/>
                <w:sz w:val="21"/>
                <w:lang w:val="en-US" w:eastAsia="zh-CN"/>
              </w:rPr>
            </w:pPr>
            <w:r>
              <w:rPr>
                <w:rFonts w:hint="eastAsia"/>
                <w:sz w:val="21"/>
                <w:lang w:val="en-US" w:eastAsia="zh-CN"/>
              </w:rPr>
              <w:t>《药品网络销售监督管理办法》第十一条 药品网络销售企业应当向药品监督管理部门报告企业名称、网站名称、应用程序名称、IP地址、域名、药品生产许可证或者药品经营许可证等信息。信息发生变化的，应当在10个工作日内报告。</w:t>
            </w:r>
          </w:p>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ascii="Times New Roman" w:hAnsi="Times New Roman" w:eastAsia="宋体" w:cs="Times New Roman"/>
                <w:snapToGrid w:val="0"/>
                <w:kern w:val="2"/>
                <w:sz w:val="21"/>
                <w:szCs w:val="24"/>
                <w:lang w:val="en-US" w:eastAsia="zh-CN" w:bidi="ar-SA"/>
              </w:rPr>
            </w:pPr>
            <w:r>
              <w:rPr>
                <w:rFonts w:hint="eastAsia"/>
                <w:sz w:val="21"/>
                <w:lang w:val="en-US" w:eastAsia="zh-CN"/>
              </w:rPr>
              <w:t>药品网络销售企业为药品上市许可持有人或者药品批发企业的，应当向所在地省级药品监督管理部门报告。药品网络销售企业为药品零售企业的，应当向所在地市县级药品监督管理部门报告。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656"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768" w:type="dxa"/>
            <w:tcBorders>
              <w:top w:val="single" w:color="000000" w:sz="8" w:space="0"/>
              <w:left w:val="single" w:color="000000" w:sz="8" w:space="0"/>
              <w:bottom w:val="single" w:color="000000" w:sz="8" w:space="0"/>
              <w:right w:val="single" w:color="000000" w:sz="8" w:space="0"/>
            </w:tcBorders>
            <w:noWrap w:val="0"/>
            <w:vAlign w:val="center"/>
          </w:tcPr>
          <w:p>
            <w:pPr>
              <w:widowControl w:val="0"/>
              <w:snapToGrid w:val="0"/>
              <w:spacing w:line="400" w:lineRule="exact"/>
              <w:jc w:val="center"/>
              <w:rPr>
                <w:rFonts w:ascii="Times New Roman" w:hAnsi="Times New Roman" w:eastAsia="Microsoft JhengHei" w:cs="Times New Roman"/>
                <w:b/>
                <w:snapToGrid w:val="0"/>
                <w:kern w:val="2"/>
                <w:sz w:val="21"/>
                <w:szCs w:val="24"/>
                <w:lang w:val="en-US" w:eastAsia="zh-CN" w:bidi="ar-SA"/>
              </w:rPr>
            </w:pPr>
            <w:r>
              <w:rPr>
                <w:rFonts w:hint="eastAsia" w:ascii="Times New Roman" w:hAnsi="Times New Roman" w:eastAsia="Microsoft JhengHei" w:cs="Times New Roman"/>
                <w:b/>
                <w:snapToGrid w:val="0"/>
                <w:kern w:val="2"/>
                <w:sz w:val="21"/>
                <w:szCs w:val="24"/>
                <w:lang w:val="en-US" w:eastAsia="zh-CN" w:bidi="ar-SA"/>
              </w:rPr>
              <w:t>裁量等级</w:t>
            </w:r>
          </w:p>
        </w:tc>
        <w:tc>
          <w:tcPr>
            <w:tcW w:w="2732"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减轻处罚幅度</w:t>
            </w:r>
          </w:p>
        </w:tc>
        <w:tc>
          <w:tcPr>
            <w:tcW w:w="3057"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从轻处罚幅度</w:t>
            </w:r>
          </w:p>
        </w:tc>
        <w:tc>
          <w:tcPr>
            <w:tcW w:w="2962"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一般处罚幅度</w:t>
            </w:r>
          </w:p>
        </w:tc>
        <w:tc>
          <w:tcPr>
            <w:tcW w:w="3110"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656"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768" w:type="dxa"/>
            <w:tcBorders>
              <w:top w:val="single" w:color="000000" w:sz="8" w:space="0"/>
              <w:left w:val="single" w:color="000000" w:sz="8" w:space="0"/>
              <w:bottom w:val="single" w:color="000000" w:sz="8" w:space="0"/>
              <w:right w:val="single" w:color="000000" w:sz="8" w:space="0"/>
            </w:tcBorders>
            <w:noWrap w:val="0"/>
            <w:vAlign w:val="center"/>
          </w:tcPr>
          <w:p>
            <w:pPr>
              <w:widowControl w:val="0"/>
              <w:snapToGrid w:val="0"/>
              <w:spacing w:line="400" w:lineRule="exact"/>
              <w:jc w:val="center"/>
              <w:rPr>
                <w:rFonts w:ascii="Times New Roman" w:hAnsi="Times New Roman" w:eastAsia="Microsoft JhengHei" w:cs="Times New Roman"/>
                <w:b/>
                <w:snapToGrid w:val="0"/>
                <w:color w:val="000000"/>
                <w:kern w:val="2"/>
                <w:sz w:val="21"/>
                <w:szCs w:val="24"/>
                <w:lang w:val="en-US" w:eastAsia="zh-CN" w:bidi="ar-SA"/>
              </w:rPr>
            </w:pPr>
            <w:r>
              <w:rPr>
                <w:rFonts w:hint="eastAsia" w:ascii="Times New Roman" w:hAnsi="Times New Roman" w:eastAsia="Microsoft JhengHei" w:cs="Times New Roman"/>
                <w:b/>
                <w:snapToGrid w:val="0"/>
                <w:color w:val="000000"/>
                <w:kern w:val="2"/>
                <w:sz w:val="21"/>
                <w:szCs w:val="24"/>
                <w:lang w:val="en-US" w:eastAsia="zh-CN" w:bidi="ar-SA"/>
              </w:rPr>
              <w:t>裁量基准</w:t>
            </w:r>
          </w:p>
        </w:tc>
        <w:tc>
          <w:tcPr>
            <w:tcW w:w="2732"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p>
        </w:tc>
        <w:tc>
          <w:tcPr>
            <w:tcW w:w="3057"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从轻行政处罚，处1万元至1.6万元的罚款。</w:t>
            </w:r>
          </w:p>
        </w:tc>
        <w:tc>
          <w:tcPr>
            <w:tcW w:w="2962"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r>
              <w:rPr>
                <w:rFonts w:hint="eastAsia"/>
                <w:sz w:val="21"/>
                <w:lang w:val="en-US" w:eastAsia="zh-CN"/>
              </w:rPr>
              <w:t>一般行政处罚，处1.6万元以上2.4万元以下的罚款。</w:t>
            </w:r>
          </w:p>
        </w:tc>
        <w:tc>
          <w:tcPr>
            <w:tcW w:w="3110"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从重行政处罚，处2.4万元至3万元的罚款。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5" w:hRule="atLeast"/>
        </w:trPr>
        <w:tc>
          <w:tcPr>
            <w:tcW w:w="656" w:type="dxa"/>
            <w:vMerge w:val="continue"/>
            <w:tcBorders>
              <w:right w:val="single" w:color="000000" w:sz="8" w:space="0"/>
            </w:tcBorders>
            <w:noWrap w:val="0"/>
            <w:vAlign w:val="center"/>
          </w:tcPr>
          <w:p>
            <w:pPr>
              <w:autoSpaceDE/>
              <w:autoSpaceDN/>
              <w:snapToGrid w:val="0"/>
              <w:spacing w:line="400" w:lineRule="exact"/>
              <w:jc w:val="both"/>
              <w:rPr>
                <w:rFonts w:ascii="Times New Roman" w:hAnsi="Times New Roman" w:cs="Times New Roman"/>
                <w:snapToGrid w:val="0"/>
                <w:kern w:val="2"/>
                <w:sz w:val="2"/>
                <w:szCs w:val="2"/>
                <w:lang w:val="en-US" w:bidi="ar-SA"/>
              </w:rPr>
            </w:pPr>
          </w:p>
        </w:tc>
        <w:tc>
          <w:tcPr>
            <w:tcW w:w="1768" w:type="dxa"/>
            <w:tcBorders>
              <w:top w:val="single" w:color="000000" w:sz="8" w:space="0"/>
              <w:left w:val="single" w:color="000000" w:sz="8"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80" w:lineRule="exact"/>
              <w:jc w:val="both"/>
              <w:textAlignment w:val="auto"/>
              <w:rPr>
                <w:rFonts w:hint="eastAsia" w:ascii="Times New Roman" w:hAnsi="Times New Roman" w:eastAsia="宋体" w:cs="Times New Roman"/>
                <w:snapToGrid w:val="0"/>
                <w:kern w:val="2"/>
                <w:sz w:val="21"/>
                <w:szCs w:val="24"/>
                <w:lang w:val="en-US" w:eastAsia="zh-CN" w:bidi="ar-SA"/>
              </w:rPr>
            </w:pPr>
            <w:r>
              <w:rPr>
                <w:rFonts w:hint="eastAsia" w:ascii="Times New Roman" w:hAnsi="Times New Roman" w:eastAsia="Microsoft JhengHei" w:cs="Times New Roman"/>
                <w:b/>
                <w:snapToGrid w:val="0"/>
                <w:kern w:val="2"/>
                <w:sz w:val="21"/>
                <w:szCs w:val="24"/>
                <w:lang w:val="en-US" w:eastAsia="zh-CN" w:bidi="ar-SA"/>
              </w:rPr>
              <w:t>裁量因素</w:t>
            </w:r>
            <w:r>
              <w:rPr>
                <w:rFonts w:hint="eastAsia" w:ascii="Times New Roman" w:hAnsi="Times New Roman" w:eastAsia="Microsoft JhengHei" w:cs="Times New Roman"/>
                <w:bCs/>
                <w:snapToGrid w:val="0"/>
                <w:kern w:val="2"/>
                <w:sz w:val="21"/>
                <w:szCs w:val="24"/>
                <w:lang w:val="en-US" w:eastAsia="zh-CN" w:bidi="ar-SA"/>
              </w:rPr>
              <w:t>（是指在进行裁量时，除裁量规则规定的从轻、减轻、从重情形外，可以考虑的因素）</w:t>
            </w:r>
          </w:p>
        </w:tc>
        <w:tc>
          <w:tcPr>
            <w:tcW w:w="11861" w:type="dxa"/>
            <w:gridSpan w:val="4"/>
            <w:tcBorders>
              <w:top w:val="single" w:color="000000" w:sz="8" w:space="0"/>
              <w:left w:val="single" w:color="auto" w:sz="4" w:space="0"/>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rPr>
                <w:rFonts w:hint="eastAsia" w:ascii="宋体" w:hAnsi="宋体" w:eastAsia="宋体" w:cs="宋体"/>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从轻处罚考虑因素：</w:t>
            </w:r>
            <w:r>
              <w:rPr>
                <w:rFonts w:hint="eastAsia" w:ascii="宋体" w:hAnsi="宋体" w:eastAsia="宋体" w:cs="宋体"/>
                <w:b w:val="0"/>
                <w:bCs w:val="0"/>
                <w:snapToGrid w:val="0"/>
                <w:color w:val="000000"/>
                <w:kern w:val="0"/>
                <w:sz w:val="21"/>
                <w:szCs w:val="21"/>
                <w:lang w:val="en-US" w:eastAsia="zh-CN" w:bidi="ar"/>
              </w:rPr>
              <w:t>逾期不超过十日的</w:t>
            </w:r>
            <w:r>
              <w:rPr>
                <w:rFonts w:hint="eastAsia" w:ascii="Times New Roman" w:hAnsi="Times New Roman" w:cs="宋体"/>
                <w:b w:val="0"/>
                <w:bCs w:val="0"/>
                <w:snapToGrid w:val="0"/>
                <w:color w:val="000000"/>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pacing w:line="240" w:lineRule="auto"/>
              <w:jc w:val="left"/>
              <w:rPr>
                <w:rFonts w:hint="default" w:ascii="宋体" w:hAnsi="宋体" w:eastAsia="宋体" w:cs="宋体"/>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从重处罚考虑因素：</w:t>
            </w:r>
            <w:r>
              <w:rPr>
                <w:rFonts w:hint="eastAsia" w:ascii="宋体" w:hAnsi="宋体" w:eastAsia="宋体" w:cs="宋体"/>
                <w:b w:val="0"/>
                <w:bCs w:val="0"/>
                <w:snapToGrid w:val="0"/>
                <w:color w:val="000000"/>
                <w:kern w:val="0"/>
                <w:sz w:val="21"/>
                <w:szCs w:val="21"/>
                <w:lang w:val="en-US" w:eastAsia="zh-CN" w:bidi="ar"/>
              </w:rPr>
              <w:t>逾期超过</w:t>
            </w:r>
            <w:r>
              <w:rPr>
                <w:rFonts w:hint="eastAsia" w:ascii="Times New Roman" w:hAnsi="Times New Roman" w:cs="宋体"/>
                <w:b w:val="0"/>
                <w:bCs w:val="0"/>
                <w:snapToGrid w:val="0"/>
                <w:color w:val="000000"/>
                <w:kern w:val="0"/>
                <w:sz w:val="21"/>
                <w:szCs w:val="21"/>
                <w:lang w:val="en-US" w:eastAsia="zh-CN" w:bidi="ar"/>
              </w:rPr>
              <w:t>三十日</w:t>
            </w:r>
            <w:r>
              <w:rPr>
                <w:rFonts w:hint="eastAsia" w:ascii="宋体" w:hAnsi="宋体" w:eastAsia="宋体" w:cs="宋体"/>
                <w:b w:val="0"/>
                <w:bCs w:val="0"/>
                <w:snapToGrid w:val="0"/>
                <w:color w:val="000000"/>
                <w:kern w:val="0"/>
                <w:sz w:val="21"/>
                <w:szCs w:val="21"/>
                <w:lang w:val="en-US" w:eastAsia="zh-CN" w:bidi="ar"/>
              </w:rPr>
              <w:t>的</w:t>
            </w:r>
            <w:r>
              <w:rPr>
                <w:rFonts w:hint="eastAsia" w:ascii="Times New Roman" w:hAnsi="Times New Roman" w:cs="宋体"/>
                <w:b w:val="0"/>
                <w:bCs w:val="0"/>
                <w:snapToGrid w:val="0"/>
                <w:color w:val="000000"/>
                <w:kern w:val="0"/>
                <w:sz w:val="21"/>
                <w:szCs w:val="21"/>
                <w:lang w:val="en-US" w:eastAsia="zh-CN" w:bidi="ar"/>
              </w:rPr>
              <w:t>。</w:t>
            </w:r>
          </w:p>
          <w:p>
            <w:pPr>
              <w:widowControl w:val="0"/>
              <w:snapToGrid w:val="0"/>
              <w:spacing w:line="400" w:lineRule="exact"/>
              <w:jc w:val="both"/>
              <w:rPr>
                <w:rFonts w:hint="eastAsia" w:ascii="Times New Roman" w:hAnsi="Times New Roman" w:eastAsia="宋体" w:cs="Times New Roman"/>
                <w:snapToGrid w:val="0"/>
                <w:kern w:val="2"/>
                <w:sz w:val="21"/>
                <w:szCs w:val="24"/>
                <w:lang w:val="en-US" w:eastAsia="zh-CN" w:bidi="ar-SA"/>
              </w:rPr>
            </w:pPr>
          </w:p>
        </w:tc>
      </w:tr>
    </w:tbl>
    <w:tbl>
      <w:tblPr>
        <w:tblStyle w:val="8"/>
        <w:tblpPr w:leftFromText="180" w:rightFromText="180" w:vertAnchor="page" w:horzAnchor="page" w:tblpX="1453" w:tblpY="2127"/>
        <w:tblOverlap w:val="never"/>
        <w:tblW w:w="140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1763"/>
        <w:gridCol w:w="2701"/>
        <w:gridCol w:w="3072"/>
        <w:gridCol w:w="2937"/>
        <w:gridCol w:w="3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65" w:type="dxa"/>
            <w:vMerge w:val="restart"/>
            <w:tcBorders>
              <w:top w:val="single" w:color="auto" w:sz="4" w:space="0"/>
              <w:bottom w:val="nil"/>
              <w:right w:val="single" w:color="000000" w:sz="8" w:space="0"/>
            </w:tcBorders>
            <w:noWrap w:val="0"/>
            <w:vAlign w:val="center"/>
          </w:tcPr>
          <w:p>
            <w:pPr>
              <w:widowControl w:val="0"/>
              <w:snapToGrid w:val="0"/>
              <w:spacing w:line="400" w:lineRule="exact"/>
              <w:jc w:val="center"/>
              <w:rPr>
                <w:rFonts w:hint="default" w:ascii="Times New Roman" w:hAnsi="Times New Roman" w:eastAsia="宋体" w:cs="Times New Roman"/>
                <w:b/>
                <w:snapToGrid w:val="0"/>
                <w:kern w:val="2"/>
                <w:sz w:val="21"/>
                <w:szCs w:val="24"/>
                <w:lang w:val="en-US" w:eastAsia="zh-CN" w:bidi="ar-SA"/>
              </w:rPr>
            </w:pPr>
            <w:r>
              <w:rPr>
                <w:rFonts w:hint="eastAsia" w:ascii="Times New Roman" w:hAnsi="Times New Roman" w:cs="Times New Roman"/>
                <w:b/>
                <w:snapToGrid w:val="0"/>
                <w:kern w:val="2"/>
                <w:sz w:val="21"/>
                <w:szCs w:val="24"/>
                <w:lang w:val="en-US" w:eastAsia="zh-CN" w:bidi="ar-SA"/>
              </w:rPr>
              <w:t>26</w:t>
            </w:r>
          </w:p>
        </w:tc>
        <w:tc>
          <w:tcPr>
            <w:tcW w:w="1763" w:type="dxa"/>
            <w:noWrap w:val="0"/>
            <w:vAlign w:val="center"/>
          </w:tcPr>
          <w:p>
            <w:pPr>
              <w:widowControl w:val="0"/>
              <w:snapToGrid w:val="0"/>
              <w:spacing w:line="400" w:lineRule="exact"/>
              <w:jc w:val="center"/>
              <w:rPr>
                <w:rFonts w:hint="eastAsia" w:ascii="Times New Roman" w:hAnsi="Times New Roman" w:eastAsia="宋体" w:cs="Times New Roman"/>
                <w:b/>
                <w:snapToGrid w:val="0"/>
                <w:kern w:val="2"/>
                <w:sz w:val="21"/>
                <w:szCs w:val="24"/>
                <w:lang w:val="en-US" w:eastAsia="zh-CN" w:bidi="ar-SA"/>
              </w:rPr>
            </w:pPr>
            <w:r>
              <w:rPr>
                <w:rFonts w:hint="eastAsia" w:ascii="Times New Roman" w:hAnsi="Times New Roman" w:eastAsia="宋体" w:cs="Times New Roman"/>
                <w:b/>
                <w:snapToGrid w:val="0"/>
                <w:kern w:val="2"/>
                <w:sz w:val="21"/>
                <w:szCs w:val="24"/>
                <w:lang w:val="en-US" w:eastAsia="zh-CN" w:bidi="ar-SA"/>
              </w:rPr>
              <w:t>裁量条款</w:t>
            </w:r>
          </w:p>
        </w:tc>
        <w:tc>
          <w:tcPr>
            <w:tcW w:w="11763" w:type="dxa"/>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ascii="Times New Roman" w:hAnsi="Times New Roman" w:eastAsia="宋体" w:cs="Times New Roman"/>
                <w:b/>
                <w:snapToGrid w:val="0"/>
                <w:kern w:val="2"/>
                <w:sz w:val="21"/>
                <w:szCs w:val="24"/>
                <w:lang w:val="en-US" w:eastAsia="zh-CN" w:bidi="ar-SA"/>
              </w:rPr>
            </w:pPr>
            <w:r>
              <w:rPr>
                <w:rFonts w:hint="eastAsia" w:ascii="Microsoft JhengHei"/>
                <w:b/>
                <w:sz w:val="21"/>
                <w:lang w:val="en-US" w:eastAsia="zh-CN"/>
              </w:rPr>
              <w:t>第二十六条  本条是对《药品网络销售监督管理办法》第三十五条“处3万元以上5万元以下的罚款”裁量基准的规定。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2" w:hRule="atLeast"/>
        </w:trPr>
        <w:tc>
          <w:tcPr>
            <w:tcW w:w="565"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763" w:type="dxa"/>
            <w:noWrap w:val="0"/>
            <w:vAlign w:val="center"/>
          </w:tcPr>
          <w:p>
            <w:pPr>
              <w:widowControl w:val="0"/>
              <w:snapToGrid w:val="0"/>
              <w:spacing w:line="400" w:lineRule="exact"/>
              <w:jc w:val="center"/>
              <w:rPr>
                <w:rFonts w:hint="eastAsia" w:ascii="Times New Roman" w:hAnsi="Times New Roman" w:eastAsia="宋体" w:cs="Times New Roman"/>
                <w:b/>
                <w:snapToGrid w:val="0"/>
                <w:kern w:val="2"/>
                <w:sz w:val="21"/>
                <w:szCs w:val="24"/>
                <w:lang w:val="en-US" w:eastAsia="zh-CN" w:bidi="ar-SA"/>
              </w:rPr>
            </w:pPr>
            <w:r>
              <w:rPr>
                <w:rFonts w:hint="eastAsia" w:ascii="Times New Roman" w:hAnsi="Times New Roman" w:eastAsia="宋体" w:cs="Times New Roman"/>
                <w:b/>
                <w:snapToGrid w:val="0"/>
                <w:kern w:val="2"/>
                <w:sz w:val="21"/>
                <w:szCs w:val="24"/>
                <w:lang w:val="en-US" w:eastAsia="zh-CN" w:bidi="ar-SA"/>
              </w:rPr>
              <w:t>关联法条</w:t>
            </w:r>
          </w:p>
        </w:tc>
        <w:tc>
          <w:tcPr>
            <w:tcW w:w="11763" w:type="dxa"/>
            <w:gridSpan w:val="4"/>
            <w:tcBorders>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ascii="Times New Roman" w:hAnsi="Times New Roman" w:eastAsia="宋体" w:cs="Times New Roman"/>
                <w:snapToGrid w:val="0"/>
                <w:kern w:val="2"/>
                <w:sz w:val="21"/>
                <w:szCs w:val="24"/>
                <w:lang w:val="en-US" w:eastAsia="zh-CN" w:bidi="ar-SA"/>
              </w:rPr>
            </w:pPr>
            <w:r>
              <w:rPr>
                <w:rFonts w:hint="eastAsia"/>
                <w:sz w:val="21"/>
                <w:lang w:val="en-US" w:eastAsia="zh-CN"/>
              </w:rPr>
              <w:t xml:space="preserve">《药品网络销售监督管理办法》第三十五条 </w:t>
            </w:r>
            <w:r>
              <w:rPr>
                <w:rFonts w:hint="eastAsia"/>
                <w:sz w:val="21"/>
                <w:lang w:val="en-US"/>
              </w:rPr>
              <w:t>（详见本基准第二十</w:t>
            </w:r>
            <w:r>
              <w:rPr>
                <w:rFonts w:hint="eastAsia"/>
                <w:sz w:val="21"/>
                <w:lang w:val="en-US" w:eastAsia="zh-CN"/>
              </w:rPr>
              <w:t>五</w:t>
            </w:r>
            <w:r>
              <w:rPr>
                <w:rFonts w:hint="eastAsia"/>
                <w:sz w:val="21"/>
                <w:lang w:val="en-US"/>
              </w:rPr>
              <w:t>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565"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763" w:type="dxa"/>
            <w:tcBorders>
              <w:top w:val="single" w:color="000000" w:sz="8" w:space="0"/>
              <w:left w:val="single" w:color="000000" w:sz="8" w:space="0"/>
              <w:bottom w:val="single" w:color="000000" w:sz="8" w:space="0"/>
              <w:right w:val="single" w:color="000000" w:sz="8" w:space="0"/>
            </w:tcBorders>
            <w:noWrap w:val="0"/>
            <w:vAlign w:val="center"/>
          </w:tcPr>
          <w:p>
            <w:pPr>
              <w:widowControl w:val="0"/>
              <w:snapToGrid w:val="0"/>
              <w:spacing w:line="400" w:lineRule="exact"/>
              <w:jc w:val="center"/>
              <w:rPr>
                <w:rFonts w:ascii="Times New Roman" w:hAnsi="Times New Roman" w:eastAsia="Microsoft JhengHei" w:cs="Times New Roman"/>
                <w:b/>
                <w:snapToGrid w:val="0"/>
                <w:kern w:val="2"/>
                <w:sz w:val="21"/>
                <w:szCs w:val="24"/>
                <w:lang w:val="en-US" w:eastAsia="zh-CN" w:bidi="ar-SA"/>
              </w:rPr>
            </w:pPr>
            <w:r>
              <w:rPr>
                <w:rFonts w:hint="eastAsia" w:ascii="Times New Roman" w:hAnsi="Times New Roman" w:eastAsia="Microsoft JhengHei" w:cs="Times New Roman"/>
                <w:b/>
                <w:snapToGrid w:val="0"/>
                <w:kern w:val="2"/>
                <w:sz w:val="21"/>
                <w:szCs w:val="24"/>
                <w:lang w:val="en-US" w:eastAsia="zh-CN" w:bidi="ar-SA"/>
              </w:rPr>
              <w:t>裁量等级</w:t>
            </w:r>
          </w:p>
        </w:tc>
        <w:tc>
          <w:tcPr>
            <w:tcW w:w="2701"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减轻处罚幅度</w:t>
            </w:r>
          </w:p>
        </w:tc>
        <w:tc>
          <w:tcPr>
            <w:tcW w:w="3072"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从轻处罚幅度</w:t>
            </w:r>
          </w:p>
        </w:tc>
        <w:tc>
          <w:tcPr>
            <w:tcW w:w="2937"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一般处罚幅度</w:t>
            </w:r>
          </w:p>
        </w:tc>
        <w:tc>
          <w:tcPr>
            <w:tcW w:w="3053"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565"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763" w:type="dxa"/>
            <w:tcBorders>
              <w:top w:val="single" w:color="000000" w:sz="8" w:space="0"/>
              <w:left w:val="single" w:color="000000" w:sz="8" w:space="0"/>
              <w:bottom w:val="single" w:color="000000" w:sz="8" w:space="0"/>
              <w:right w:val="single" w:color="000000" w:sz="8" w:space="0"/>
            </w:tcBorders>
            <w:noWrap w:val="0"/>
            <w:vAlign w:val="center"/>
          </w:tcPr>
          <w:p>
            <w:pPr>
              <w:widowControl w:val="0"/>
              <w:snapToGrid w:val="0"/>
              <w:spacing w:line="400" w:lineRule="exact"/>
              <w:jc w:val="center"/>
              <w:rPr>
                <w:rFonts w:ascii="Times New Roman" w:hAnsi="Times New Roman" w:eastAsia="Microsoft JhengHei" w:cs="Times New Roman"/>
                <w:b/>
                <w:snapToGrid w:val="0"/>
                <w:color w:val="000000"/>
                <w:kern w:val="2"/>
                <w:sz w:val="21"/>
                <w:szCs w:val="24"/>
                <w:lang w:val="en-US" w:eastAsia="zh-CN" w:bidi="ar-SA"/>
              </w:rPr>
            </w:pPr>
            <w:r>
              <w:rPr>
                <w:rFonts w:hint="eastAsia" w:ascii="Times New Roman" w:hAnsi="Times New Roman" w:eastAsia="Microsoft JhengHei" w:cs="Times New Roman"/>
                <w:b/>
                <w:snapToGrid w:val="0"/>
                <w:color w:val="000000"/>
                <w:kern w:val="2"/>
                <w:sz w:val="21"/>
                <w:szCs w:val="24"/>
                <w:lang w:val="en-US" w:eastAsia="zh-CN" w:bidi="ar-SA"/>
              </w:rPr>
              <w:t>裁量基准</w:t>
            </w:r>
          </w:p>
        </w:tc>
        <w:tc>
          <w:tcPr>
            <w:tcW w:w="2701"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p>
        </w:tc>
        <w:tc>
          <w:tcPr>
            <w:tcW w:w="3072"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从轻行政处罚，处3万元至3.6万元的罚款。</w:t>
            </w:r>
          </w:p>
        </w:tc>
        <w:tc>
          <w:tcPr>
            <w:tcW w:w="2937"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r>
              <w:rPr>
                <w:rFonts w:hint="eastAsia"/>
                <w:sz w:val="21"/>
                <w:lang w:val="en-US" w:eastAsia="zh-CN"/>
              </w:rPr>
              <w:t>一般行政处罚，处3.6万元以上4.4万元以下的罚款。</w:t>
            </w:r>
          </w:p>
        </w:tc>
        <w:tc>
          <w:tcPr>
            <w:tcW w:w="3053"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从重行政处罚，处4.4万元至5万元的罚款。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565" w:type="dxa"/>
            <w:vMerge w:val="continue"/>
            <w:tcBorders>
              <w:right w:val="single" w:color="000000" w:sz="8" w:space="0"/>
            </w:tcBorders>
            <w:noWrap w:val="0"/>
            <w:vAlign w:val="center"/>
          </w:tcPr>
          <w:p>
            <w:pPr>
              <w:autoSpaceDE/>
              <w:autoSpaceDN/>
              <w:snapToGrid w:val="0"/>
              <w:spacing w:line="400" w:lineRule="exact"/>
              <w:jc w:val="both"/>
              <w:rPr>
                <w:rFonts w:ascii="Times New Roman" w:hAnsi="Times New Roman" w:cs="Times New Roman"/>
                <w:snapToGrid w:val="0"/>
                <w:kern w:val="2"/>
                <w:sz w:val="2"/>
                <w:szCs w:val="2"/>
                <w:lang w:val="en-US" w:bidi="ar-SA"/>
              </w:rPr>
            </w:pPr>
          </w:p>
        </w:tc>
        <w:tc>
          <w:tcPr>
            <w:tcW w:w="1763" w:type="dxa"/>
            <w:tcBorders>
              <w:top w:val="single" w:color="000000" w:sz="8" w:space="0"/>
              <w:left w:val="single" w:color="000000" w:sz="8"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80" w:lineRule="exact"/>
              <w:jc w:val="both"/>
              <w:textAlignment w:val="auto"/>
              <w:rPr>
                <w:rFonts w:hint="eastAsia" w:ascii="Times New Roman" w:hAnsi="Times New Roman" w:eastAsia="Microsoft JhengHei" w:cs="Times New Roman"/>
                <w:b/>
                <w:snapToGrid w:val="0"/>
                <w:kern w:val="2"/>
                <w:sz w:val="21"/>
                <w:szCs w:val="24"/>
                <w:lang w:val="en-US" w:eastAsia="zh-CN" w:bidi="ar-SA"/>
              </w:rPr>
            </w:pPr>
          </w:p>
          <w:p>
            <w:pPr>
              <w:keepNext w:val="0"/>
              <w:keepLines w:val="0"/>
              <w:pageBreakBefore w:val="0"/>
              <w:widowControl w:val="0"/>
              <w:kinsoku/>
              <w:wordWrap/>
              <w:overflowPunct/>
              <w:topLinePunct w:val="0"/>
              <w:autoSpaceDE w:val="0"/>
              <w:autoSpaceDN w:val="0"/>
              <w:bidi w:val="0"/>
              <w:adjustRightInd/>
              <w:snapToGrid w:val="0"/>
              <w:spacing w:line="280" w:lineRule="exact"/>
              <w:jc w:val="both"/>
              <w:textAlignment w:val="auto"/>
              <w:rPr>
                <w:rFonts w:hint="eastAsia" w:ascii="Times New Roman" w:hAnsi="Times New Roman" w:eastAsia="Microsoft JhengHei" w:cs="Times New Roman"/>
                <w:b/>
                <w:snapToGrid w:val="0"/>
                <w:kern w:val="2"/>
                <w:sz w:val="21"/>
                <w:szCs w:val="24"/>
                <w:lang w:val="en-US" w:eastAsia="zh-CN" w:bidi="ar-SA"/>
              </w:rPr>
            </w:pPr>
          </w:p>
          <w:p>
            <w:pPr>
              <w:keepNext w:val="0"/>
              <w:keepLines w:val="0"/>
              <w:pageBreakBefore w:val="0"/>
              <w:widowControl w:val="0"/>
              <w:kinsoku/>
              <w:wordWrap/>
              <w:overflowPunct/>
              <w:topLinePunct w:val="0"/>
              <w:autoSpaceDE w:val="0"/>
              <w:autoSpaceDN w:val="0"/>
              <w:bidi w:val="0"/>
              <w:adjustRightInd/>
              <w:snapToGrid w:val="0"/>
              <w:spacing w:line="280" w:lineRule="exact"/>
              <w:jc w:val="both"/>
              <w:textAlignment w:val="auto"/>
              <w:rPr>
                <w:rFonts w:hint="eastAsia" w:ascii="Times New Roman" w:hAnsi="Times New Roman" w:eastAsia="Microsoft JhengHei" w:cs="Times New Roman"/>
                <w:bCs/>
                <w:snapToGrid w:val="0"/>
                <w:kern w:val="2"/>
                <w:sz w:val="21"/>
                <w:szCs w:val="24"/>
                <w:lang w:val="en-US" w:eastAsia="zh-CN" w:bidi="ar-SA"/>
              </w:rPr>
            </w:pPr>
            <w:r>
              <w:rPr>
                <w:rFonts w:hint="eastAsia" w:ascii="Times New Roman" w:hAnsi="Times New Roman" w:eastAsia="Microsoft JhengHei" w:cs="Times New Roman"/>
                <w:b/>
                <w:snapToGrid w:val="0"/>
                <w:kern w:val="2"/>
                <w:sz w:val="21"/>
                <w:szCs w:val="24"/>
                <w:lang w:val="en-US" w:eastAsia="zh-CN" w:bidi="ar-SA"/>
              </w:rPr>
              <w:t>裁量因素</w:t>
            </w:r>
            <w:r>
              <w:rPr>
                <w:rFonts w:hint="eastAsia" w:ascii="Times New Roman" w:hAnsi="Times New Roman" w:eastAsia="Microsoft JhengHei" w:cs="Times New Roman"/>
                <w:bCs/>
                <w:snapToGrid w:val="0"/>
                <w:kern w:val="2"/>
                <w:sz w:val="21"/>
                <w:szCs w:val="24"/>
                <w:lang w:val="en-US" w:eastAsia="zh-CN" w:bidi="ar-SA"/>
              </w:rPr>
              <w:t>（是指在进行裁量时，除裁量规则规定的从轻、减轻、从重情形外，可以考虑的因素）</w:t>
            </w:r>
          </w:p>
          <w:p>
            <w:pPr>
              <w:keepNext w:val="0"/>
              <w:keepLines w:val="0"/>
              <w:pageBreakBefore w:val="0"/>
              <w:widowControl w:val="0"/>
              <w:kinsoku/>
              <w:wordWrap/>
              <w:overflowPunct/>
              <w:topLinePunct w:val="0"/>
              <w:autoSpaceDE w:val="0"/>
              <w:autoSpaceDN w:val="0"/>
              <w:bidi w:val="0"/>
              <w:adjustRightInd/>
              <w:snapToGrid w:val="0"/>
              <w:spacing w:line="280" w:lineRule="exact"/>
              <w:jc w:val="both"/>
              <w:textAlignment w:val="auto"/>
              <w:rPr>
                <w:rFonts w:hint="eastAsia" w:ascii="Times New Roman" w:hAnsi="Times New Roman" w:eastAsia="Microsoft JhengHei" w:cs="Times New Roman"/>
                <w:bCs/>
                <w:snapToGrid w:val="0"/>
                <w:kern w:val="2"/>
                <w:sz w:val="21"/>
                <w:szCs w:val="24"/>
                <w:lang w:val="en-US" w:eastAsia="zh-CN" w:bidi="ar-SA"/>
              </w:rPr>
            </w:pPr>
          </w:p>
          <w:p>
            <w:pPr>
              <w:keepNext w:val="0"/>
              <w:keepLines w:val="0"/>
              <w:pageBreakBefore w:val="0"/>
              <w:widowControl w:val="0"/>
              <w:kinsoku/>
              <w:wordWrap/>
              <w:overflowPunct/>
              <w:topLinePunct w:val="0"/>
              <w:autoSpaceDE w:val="0"/>
              <w:autoSpaceDN w:val="0"/>
              <w:bidi w:val="0"/>
              <w:adjustRightInd/>
              <w:snapToGrid w:val="0"/>
              <w:spacing w:line="280" w:lineRule="exact"/>
              <w:jc w:val="both"/>
              <w:textAlignment w:val="auto"/>
              <w:rPr>
                <w:rFonts w:hint="eastAsia" w:ascii="Times New Roman" w:hAnsi="Times New Roman" w:eastAsia="Microsoft JhengHei" w:cs="Times New Roman"/>
                <w:bCs/>
                <w:snapToGrid w:val="0"/>
                <w:kern w:val="2"/>
                <w:sz w:val="21"/>
                <w:szCs w:val="24"/>
                <w:lang w:val="en-US" w:eastAsia="zh-CN" w:bidi="ar-SA"/>
              </w:rPr>
            </w:pPr>
          </w:p>
          <w:p>
            <w:pPr>
              <w:keepNext w:val="0"/>
              <w:keepLines w:val="0"/>
              <w:pageBreakBefore w:val="0"/>
              <w:widowControl w:val="0"/>
              <w:kinsoku/>
              <w:wordWrap/>
              <w:overflowPunct/>
              <w:topLinePunct w:val="0"/>
              <w:autoSpaceDE w:val="0"/>
              <w:autoSpaceDN w:val="0"/>
              <w:bidi w:val="0"/>
              <w:adjustRightInd/>
              <w:snapToGrid w:val="0"/>
              <w:spacing w:line="280" w:lineRule="exact"/>
              <w:jc w:val="both"/>
              <w:textAlignment w:val="auto"/>
              <w:rPr>
                <w:rFonts w:hint="eastAsia" w:ascii="Times New Roman" w:hAnsi="Times New Roman" w:eastAsia="Microsoft JhengHei" w:cs="Times New Roman"/>
                <w:bCs/>
                <w:snapToGrid w:val="0"/>
                <w:kern w:val="2"/>
                <w:sz w:val="21"/>
                <w:szCs w:val="24"/>
                <w:lang w:val="en-US" w:eastAsia="zh-CN" w:bidi="ar-SA"/>
              </w:rPr>
            </w:pPr>
          </w:p>
        </w:tc>
        <w:tc>
          <w:tcPr>
            <w:tcW w:w="11763" w:type="dxa"/>
            <w:gridSpan w:val="4"/>
            <w:tcBorders>
              <w:top w:val="single" w:color="000000" w:sz="8" w:space="0"/>
              <w:left w:val="single" w:color="auto" w:sz="4" w:space="0"/>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rPr>
                <w:rFonts w:hint="eastAsia" w:ascii="宋体" w:hAnsi="宋体" w:eastAsia="宋体" w:cs="宋体"/>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从轻处罚考虑因素：</w:t>
            </w:r>
            <w:r>
              <w:rPr>
                <w:rFonts w:hint="eastAsia" w:ascii="宋体" w:hAnsi="宋体" w:eastAsia="宋体" w:cs="宋体"/>
                <w:b w:val="0"/>
                <w:bCs w:val="0"/>
                <w:snapToGrid w:val="0"/>
                <w:color w:val="000000"/>
                <w:kern w:val="0"/>
                <w:sz w:val="21"/>
                <w:szCs w:val="21"/>
                <w:lang w:val="en-US" w:eastAsia="zh-CN" w:bidi="ar"/>
              </w:rPr>
              <w:t>逾期不超过十日的</w:t>
            </w:r>
            <w:r>
              <w:rPr>
                <w:rFonts w:hint="eastAsia" w:ascii="Times New Roman" w:hAnsi="Times New Roman" w:cs="宋体"/>
                <w:b w:val="0"/>
                <w:bCs w:val="0"/>
                <w:snapToGrid w:val="0"/>
                <w:color w:val="000000"/>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pacing w:line="240" w:lineRule="auto"/>
              <w:jc w:val="left"/>
              <w:rPr>
                <w:rFonts w:hint="default" w:ascii="Times New Roman" w:hAnsi="Times New Roman" w:eastAsia="宋体" w:cs="Times New Roman"/>
                <w:snapToGrid w:val="0"/>
                <w:kern w:val="2"/>
                <w:sz w:val="21"/>
                <w:szCs w:val="24"/>
                <w:lang w:val="en-US" w:eastAsia="zh-CN" w:bidi="ar-SA"/>
              </w:rPr>
            </w:pPr>
            <w:r>
              <w:rPr>
                <w:rFonts w:hint="eastAsia" w:ascii="宋体" w:hAnsi="宋体" w:eastAsia="宋体" w:cs="宋体"/>
                <w:b/>
                <w:bCs/>
                <w:snapToGrid w:val="0"/>
                <w:color w:val="000000"/>
                <w:kern w:val="0"/>
                <w:sz w:val="21"/>
                <w:szCs w:val="21"/>
                <w:lang w:val="en-US" w:eastAsia="zh-CN" w:bidi="ar"/>
              </w:rPr>
              <w:t>从重处罚考虑因素：</w:t>
            </w:r>
            <w:r>
              <w:rPr>
                <w:rFonts w:hint="eastAsia" w:ascii="宋体" w:hAnsi="宋体" w:eastAsia="宋体" w:cs="宋体"/>
                <w:b w:val="0"/>
                <w:bCs w:val="0"/>
                <w:snapToGrid w:val="0"/>
                <w:color w:val="000000"/>
                <w:kern w:val="0"/>
                <w:sz w:val="21"/>
                <w:szCs w:val="21"/>
                <w:lang w:val="en-US" w:eastAsia="zh-CN" w:bidi="ar"/>
              </w:rPr>
              <w:t>逾期超过</w:t>
            </w:r>
            <w:r>
              <w:rPr>
                <w:rFonts w:hint="eastAsia" w:cs="宋体"/>
                <w:b w:val="0"/>
                <w:bCs w:val="0"/>
                <w:snapToGrid w:val="0"/>
                <w:color w:val="000000"/>
                <w:kern w:val="0"/>
                <w:sz w:val="21"/>
                <w:szCs w:val="21"/>
                <w:lang w:val="en-US" w:eastAsia="zh-CN" w:bidi="ar"/>
              </w:rPr>
              <w:t>三十日</w:t>
            </w:r>
            <w:r>
              <w:rPr>
                <w:rFonts w:hint="eastAsia" w:ascii="宋体" w:hAnsi="宋体" w:eastAsia="宋体" w:cs="宋体"/>
                <w:b w:val="0"/>
                <w:bCs w:val="0"/>
                <w:snapToGrid w:val="0"/>
                <w:color w:val="000000"/>
                <w:kern w:val="0"/>
                <w:sz w:val="21"/>
                <w:szCs w:val="21"/>
                <w:lang w:val="en-US" w:eastAsia="zh-CN" w:bidi="ar"/>
              </w:rPr>
              <w:t>的</w:t>
            </w:r>
            <w:r>
              <w:rPr>
                <w:rFonts w:hint="eastAsia" w:ascii="Times New Roman" w:hAnsi="Times New Roman" w:cs="宋体"/>
                <w:b w:val="0"/>
                <w:bCs w:val="0"/>
                <w:snapToGrid w:val="0"/>
                <w:color w:val="000000"/>
                <w:kern w:val="0"/>
                <w:sz w:val="21"/>
                <w:szCs w:val="21"/>
                <w:lang w:val="en-US" w:eastAsia="zh-CN" w:bidi="ar"/>
              </w:rPr>
              <w:t>。</w:t>
            </w:r>
          </w:p>
        </w:tc>
      </w:tr>
    </w:tbl>
    <w:p>
      <w:pPr>
        <w:pStyle w:val="11"/>
        <w:keepNext w:val="0"/>
        <w:keepLines w:val="0"/>
        <w:pageBreakBefore w:val="0"/>
        <w:widowControl w:val="0"/>
        <w:kinsoku/>
        <w:wordWrap/>
        <w:overflowPunct/>
        <w:topLinePunct w:val="0"/>
        <w:autoSpaceDE w:val="0"/>
        <w:autoSpaceDN w:val="0"/>
        <w:bidi w:val="0"/>
        <w:adjustRightInd/>
        <w:snapToGrid/>
        <w:spacing w:line="240" w:lineRule="auto"/>
        <w:ind w:right="0" w:firstLine="421" w:firstLineChars="200"/>
        <w:jc w:val="both"/>
        <w:textAlignment w:val="auto"/>
        <w:rPr>
          <w:rFonts w:hint="eastAsia" w:ascii="Microsoft JhengHei"/>
          <w:b/>
          <w:sz w:val="21"/>
          <w:lang w:val="en-US" w:eastAsia="zh-CN"/>
        </w:rPr>
      </w:pPr>
    </w:p>
    <w:tbl>
      <w:tblPr>
        <w:tblStyle w:val="8"/>
        <w:tblpPr w:leftFromText="180" w:rightFromText="180" w:vertAnchor="page" w:horzAnchor="page" w:tblpX="1429" w:tblpY="2112"/>
        <w:tblOverlap w:val="never"/>
        <w:tblW w:w="140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3"/>
        <w:gridCol w:w="1710"/>
        <w:gridCol w:w="2696"/>
        <w:gridCol w:w="3072"/>
        <w:gridCol w:w="2988"/>
        <w:gridCol w:w="30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23" w:type="dxa"/>
            <w:vMerge w:val="restart"/>
            <w:tcBorders>
              <w:top w:val="single" w:color="auto" w:sz="4" w:space="0"/>
              <w:bottom w:val="nil"/>
              <w:right w:val="single" w:color="000000" w:sz="8" w:space="0"/>
            </w:tcBorders>
            <w:noWrap w:val="0"/>
            <w:vAlign w:val="center"/>
          </w:tcPr>
          <w:p>
            <w:pPr>
              <w:widowControl w:val="0"/>
              <w:snapToGrid w:val="0"/>
              <w:spacing w:line="400" w:lineRule="exact"/>
              <w:jc w:val="center"/>
              <w:rPr>
                <w:rFonts w:hint="default" w:ascii="Times New Roman" w:hAnsi="Times New Roman" w:eastAsia="宋体" w:cs="Times New Roman"/>
                <w:b/>
                <w:snapToGrid w:val="0"/>
                <w:kern w:val="2"/>
                <w:sz w:val="21"/>
                <w:szCs w:val="24"/>
                <w:lang w:val="en-US" w:eastAsia="zh-CN" w:bidi="ar-SA"/>
              </w:rPr>
            </w:pPr>
            <w:r>
              <w:rPr>
                <w:rFonts w:hint="eastAsia" w:ascii="Times New Roman" w:hAnsi="Times New Roman" w:cs="Times New Roman"/>
                <w:b/>
                <w:snapToGrid w:val="0"/>
                <w:kern w:val="2"/>
                <w:sz w:val="21"/>
                <w:szCs w:val="24"/>
                <w:lang w:val="en-US" w:eastAsia="zh-CN" w:bidi="ar-SA"/>
              </w:rPr>
              <w:t>27</w:t>
            </w:r>
          </w:p>
        </w:tc>
        <w:tc>
          <w:tcPr>
            <w:tcW w:w="1710" w:type="dxa"/>
            <w:noWrap w:val="0"/>
            <w:vAlign w:val="center"/>
          </w:tcPr>
          <w:p>
            <w:pPr>
              <w:widowControl w:val="0"/>
              <w:snapToGrid w:val="0"/>
              <w:spacing w:line="400" w:lineRule="exact"/>
              <w:jc w:val="center"/>
              <w:rPr>
                <w:rFonts w:hint="eastAsia" w:ascii="Times New Roman" w:hAnsi="Times New Roman" w:eastAsia="宋体" w:cs="Times New Roman"/>
                <w:b/>
                <w:snapToGrid w:val="0"/>
                <w:kern w:val="2"/>
                <w:sz w:val="21"/>
                <w:szCs w:val="24"/>
                <w:lang w:val="en-US" w:eastAsia="zh-CN" w:bidi="ar-SA"/>
              </w:rPr>
            </w:pPr>
            <w:r>
              <w:rPr>
                <w:rFonts w:hint="eastAsia" w:ascii="Times New Roman" w:hAnsi="Times New Roman" w:eastAsia="宋体" w:cs="Times New Roman"/>
                <w:b/>
                <w:snapToGrid w:val="0"/>
                <w:kern w:val="2"/>
                <w:sz w:val="21"/>
                <w:szCs w:val="24"/>
                <w:lang w:val="en-US" w:eastAsia="zh-CN" w:bidi="ar-SA"/>
              </w:rPr>
              <w:t>裁量条款</w:t>
            </w:r>
          </w:p>
        </w:tc>
        <w:tc>
          <w:tcPr>
            <w:tcW w:w="11758" w:type="dxa"/>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ascii="Times New Roman" w:hAnsi="Times New Roman" w:eastAsia="宋体" w:cs="Times New Roman"/>
                <w:b/>
                <w:snapToGrid w:val="0"/>
                <w:kern w:val="2"/>
                <w:sz w:val="21"/>
                <w:szCs w:val="24"/>
                <w:lang w:val="en-US" w:eastAsia="zh-CN" w:bidi="ar-SA"/>
              </w:rPr>
            </w:pPr>
            <w:r>
              <w:rPr>
                <w:rFonts w:hint="eastAsia" w:ascii="Microsoft JhengHei"/>
                <w:b/>
                <w:sz w:val="21"/>
                <w:lang w:val="en-US" w:eastAsia="zh-CN"/>
              </w:rPr>
              <w:t>第二十七条  本条是对《药品网络销售监督管理办法》第三十六条“处5万元以上10万元以下的罚款”裁量基准的规定。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2" w:hRule="atLeast"/>
        </w:trPr>
        <w:tc>
          <w:tcPr>
            <w:tcW w:w="623"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710" w:type="dxa"/>
            <w:noWrap w:val="0"/>
            <w:vAlign w:val="center"/>
          </w:tcPr>
          <w:p>
            <w:pPr>
              <w:widowControl w:val="0"/>
              <w:snapToGrid w:val="0"/>
              <w:spacing w:line="400" w:lineRule="exact"/>
              <w:jc w:val="center"/>
              <w:rPr>
                <w:rFonts w:hint="eastAsia" w:ascii="Times New Roman" w:hAnsi="Times New Roman" w:eastAsia="宋体" w:cs="Times New Roman"/>
                <w:b/>
                <w:snapToGrid w:val="0"/>
                <w:kern w:val="2"/>
                <w:sz w:val="21"/>
                <w:szCs w:val="24"/>
                <w:lang w:val="en-US" w:eastAsia="zh-CN" w:bidi="ar-SA"/>
              </w:rPr>
            </w:pPr>
            <w:r>
              <w:rPr>
                <w:rFonts w:hint="eastAsia" w:ascii="Times New Roman" w:hAnsi="Times New Roman" w:eastAsia="宋体" w:cs="Times New Roman"/>
                <w:b/>
                <w:snapToGrid w:val="0"/>
                <w:kern w:val="2"/>
                <w:sz w:val="21"/>
                <w:szCs w:val="24"/>
                <w:lang w:val="en-US" w:eastAsia="zh-CN" w:bidi="ar-SA"/>
              </w:rPr>
              <w:t>关联法条</w:t>
            </w:r>
          </w:p>
        </w:tc>
        <w:tc>
          <w:tcPr>
            <w:tcW w:w="11758" w:type="dxa"/>
            <w:gridSpan w:val="4"/>
            <w:tcBorders>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eastAsia"/>
                <w:sz w:val="21"/>
                <w:lang w:val="en-US" w:eastAsia="zh-CN"/>
              </w:rPr>
            </w:pPr>
            <w:r>
              <w:rPr>
                <w:rFonts w:hint="eastAsia"/>
                <w:sz w:val="21"/>
                <w:lang w:val="en-US" w:eastAsia="zh-CN"/>
              </w:rPr>
              <w:t>《药品网络销售监督管理办法》第三十六条 违反本办法第十三条、第十九条第二款的规定，责令限期改正；逾期不改正的，处5万元以上10万元以下罚款。</w:t>
            </w:r>
          </w:p>
          <w:p>
            <w:pPr>
              <w:pStyle w:val="11"/>
              <w:keepNext w:val="0"/>
              <w:keepLines w:val="0"/>
              <w:pageBreakBefore w:val="0"/>
              <w:widowControl w:val="0"/>
              <w:kinsoku/>
              <w:wordWrap/>
              <w:overflowPunct/>
              <w:topLinePunct w:val="0"/>
              <w:autoSpaceDE w:val="0"/>
              <w:autoSpaceDN w:val="0"/>
              <w:bidi w:val="0"/>
              <w:adjustRightInd/>
              <w:snapToGrid/>
              <w:spacing w:line="288" w:lineRule="auto"/>
              <w:ind w:right="0" w:firstLine="420" w:firstLineChars="200"/>
              <w:jc w:val="both"/>
              <w:textAlignment w:val="auto"/>
              <w:rPr>
                <w:rFonts w:hint="eastAsia"/>
                <w:sz w:val="21"/>
                <w:lang w:val="en-US" w:eastAsia="zh-CN"/>
              </w:rPr>
            </w:pPr>
            <w:r>
              <w:rPr>
                <w:rFonts w:hint="eastAsia"/>
                <w:sz w:val="21"/>
                <w:lang w:val="en-US" w:eastAsia="zh-CN"/>
              </w:rPr>
              <w:t>《药品网络销售监督管理办法》第十三条 药品网络销售企业展示的药品相关信息应当真实、准确、合法。</w:t>
            </w:r>
          </w:p>
          <w:p>
            <w:pPr>
              <w:pStyle w:val="11"/>
              <w:keepNext w:val="0"/>
              <w:keepLines w:val="0"/>
              <w:pageBreakBefore w:val="0"/>
              <w:widowControl w:val="0"/>
              <w:kinsoku/>
              <w:wordWrap/>
              <w:overflowPunct/>
              <w:topLinePunct w:val="0"/>
              <w:autoSpaceDE w:val="0"/>
              <w:autoSpaceDN w:val="0"/>
              <w:bidi w:val="0"/>
              <w:adjustRightInd/>
              <w:snapToGrid/>
              <w:spacing w:line="288" w:lineRule="auto"/>
              <w:ind w:right="0" w:firstLine="420" w:firstLineChars="200"/>
              <w:jc w:val="both"/>
              <w:textAlignment w:val="auto"/>
              <w:rPr>
                <w:rFonts w:hint="eastAsia"/>
                <w:sz w:val="21"/>
                <w:lang w:val="en-US" w:eastAsia="zh-CN"/>
              </w:rPr>
            </w:pPr>
            <w:r>
              <w:rPr>
                <w:rFonts w:hint="eastAsia"/>
                <w:sz w:val="21"/>
                <w:lang w:val="en-US" w:eastAsia="zh-CN"/>
              </w:rPr>
              <w:t>从事处方药销售的药品网络零售企业，应当在每个药品展示页面下突出显示“处方药须凭处方在药师指导下购买和使用”等风险警示信息。处方药销售前，应当向消费者充分告知相关风险警示信息，并经消费者确认知情。</w:t>
            </w:r>
          </w:p>
          <w:p>
            <w:pPr>
              <w:pStyle w:val="11"/>
              <w:keepNext w:val="0"/>
              <w:keepLines w:val="0"/>
              <w:pageBreakBefore w:val="0"/>
              <w:widowControl w:val="0"/>
              <w:kinsoku/>
              <w:wordWrap/>
              <w:overflowPunct/>
              <w:topLinePunct w:val="0"/>
              <w:autoSpaceDE w:val="0"/>
              <w:autoSpaceDN w:val="0"/>
              <w:bidi w:val="0"/>
              <w:adjustRightInd/>
              <w:snapToGrid/>
              <w:spacing w:line="288" w:lineRule="auto"/>
              <w:ind w:right="0" w:firstLine="420" w:firstLineChars="200"/>
              <w:jc w:val="both"/>
              <w:textAlignment w:val="auto"/>
              <w:rPr>
                <w:rFonts w:hint="eastAsia"/>
                <w:sz w:val="21"/>
                <w:lang w:val="en-US" w:eastAsia="zh-CN"/>
              </w:rPr>
            </w:pPr>
            <w:r>
              <w:rPr>
                <w:rFonts w:hint="eastAsia"/>
                <w:sz w:val="21"/>
                <w:lang w:val="en-US" w:eastAsia="zh-CN"/>
              </w:rPr>
              <w:t>药品网络零售企业应当将处方药与非处方药区分展示，并在相关网页上显著标示处方药、非处方药。</w:t>
            </w:r>
          </w:p>
          <w:p>
            <w:pPr>
              <w:pStyle w:val="11"/>
              <w:keepNext w:val="0"/>
              <w:keepLines w:val="0"/>
              <w:pageBreakBefore w:val="0"/>
              <w:widowControl w:val="0"/>
              <w:kinsoku/>
              <w:wordWrap/>
              <w:overflowPunct/>
              <w:topLinePunct w:val="0"/>
              <w:autoSpaceDE w:val="0"/>
              <w:autoSpaceDN w:val="0"/>
              <w:bidi w:val="0"/>
              <w:adjustRightInd/>
              <w:snapToGrid/>
              <w:spacing w:line="288" w:lineRule="auto"/>
              <w:ind w:right="0" w:firstLine="420" w:firstLineChars="200"/>
              <w:jc w:val="both"/>
              <w:textAlignment w:val="auto"/>
              <w:rPr>
                <w:rFonts w:hint="eastAsia"/>
                <w:sz w:val="21"/>
                <w:lang w:val="en-US" w:eastAsia="zh-CN"/>
              </w:rPr>
            </w:pPr>
            <w:r>
              <w:rPr>
                <w:rFonts w:hint="eastAsia"/>
                <w:sz w:val="21"/>
                <w:lang w:val="en-US" w:eastAsia="zh-CN"/>
              </w:rPr>
              <w:t>药品网络零售企业在处方药销售主页面、首页面不得直接公开展示处方药包装、标签等信息。通过处方审核前，不得展示说明书等信息，不得提供处方药购买的相关服务。</w:t>
            </w:r>
          </w:p>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ascii="Times New Roman" w:hAnsi="Times New Roman" w:eastAsia="宋体" w:cs="Times New Roman"/>
                <w:snapToGrid w:val="0"/>
                <w:kern w:val="2"/>
                <w:sz w:val="21"/>
                <w:szCs w:val="24"/>
                <w:lang w:val="en-US" w:eastAsia="zh-CN" w:bidi="ar-SA"/>
              </w:rPr>
            </w:pPr>
            <w:r>
              <w:rPr>
                <w:rFonts w:hint="eastAsia"/>
                <w:sz w:val="21"/>
                <w:lang w:val="en-US" w:eastAsia="zh-CN"/>
              </w:rPr>
              <w:t>《药品网络销售监督管理办法》第十九条第二款 第三方平台展示药品信息应当遵守本办法第十三条的规定。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623"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710" w:type="dxa"/>
            <w:tcBorders>
              <w:top w:val="single" w:color="000000" w:sz="8" w:space="0"/>
              <w:left w:val="single" w:color="000000" w:sz="8" w:space="0"/>
              <w:bottom w:val="single" w:color="000000" w:sz="8" w:space="0"/>
              <w:right w:val="single" w:color="000000" w:sz="8" w:space="0"/>
            </w:tcBorders>
            <w:noWrap w:val="0"/>
            <w:vAlign w:val="center"/>
          </w:tcPr>
          <w:p>
            <w:pPr>
              <w:widowControl w:val="0"/>
              <w:snapToGrid w:val="0"/>
              <w:spacing w:line="400" w:lineRule="exact"/>
              <w:jc w:val="center"/>
              <w:rPr>
                <w:rFonts w:ascii="Times New Roman" w:hAnsi="Times New Roman" w:eastAsia="Microsoft JhengHei" w:cs="Times New Roman"/>
                <w:b/>
                <w:snapToGrid w:val="0"/>
                <w:kern w:val="2"/>
                <w:sz w:val="21"/>
                <w:szCs w:val="24"/>
                <w:lang w:val="en-US" w:eastAsia="zh-CN" w:bidi="ar-SA"/>
              </w:rPr>
            </w:pPr>
            <w:r>
              <w:rPr>
                <w:rFonts w:hint="eastAsia" w:ascii="Times New Roman" w:hAnsi="Times New Roman" w:eastAsia="Microsoft JhengHei" w:cs="Times New Roman"/>
                <w:b/>
                <w:snapToGrid w:val="0"/>
                <w:kern w:val="2"/>
                <w:sz w:val="21"/>
                <w:szCs w:val="24"/>
                <w:lang w:val="en-US" w:eastAsia="zh-CN" w:bidi="ar-SA"/>
              </w:rPr>
              <w:t>裁量等级</w:t>
            </w:r>
          </w:p>
        </w:tc>
        <w:tc>
          <w:tcPr>
            <w:tcW w:w="2696"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减轻处罚幅度</w:t>
            </w:r>
          </w:p>
        </w:tc>
        <w:tc>
          <w:tcPr>
            <w:tcW w:w="3072"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从轻处罚幅度</w:t>
            </w:r>
          </w:p>
        </w:tc>
        <w:tc>
          <w:tcPr>
            <w:tcW w:w="2988"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一般处罚幅度</w:t>
            </w:r>
          </w:p>
        </w:tc>
        <w:tc>
          <w:tcPr>
            <w:tcW w:w="3002"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623"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710" w:type="dxa"/>
            <w:tcBorders>
              <w:top w:val="single" w:color="000000" w:sz="8" w:space="0"/>
              <w:left w:val="single" w:color="000000" w:sz="8" w:space="0"/>
              <w:bottom w:val="single" w:color="000000" w:sz="8" w:space="0"/>
              <w:right w:val="single" w:color="000000" w:sz="8" w:space="0"/>
            </w:tcBorders>
            <w:noWrap w:val="0"/>
            <w:vAlign w:val="center"/>
          </w:tcPr>
          <w:p>
            <w:pPr>
              <w:widowControl w:val="0"/>
              <w:snapToGrid w:val="0"/>
              <w:spacing w:line="400" w:lineRule="exact"/>
              <w:jc w:val="center"/>
              <w:rPr>
                <w:rFonts w:ascii="Times New Roman" w:hAnsi="Times New Roman" w:eastAsia="Microsoft JhengHei" w:cs="Times New Roman"/>
                <w:b/>
                <w:snapToGrid w:val="0"/>
                <w:color w:val="000000"/>
                <w:kern w:val="2"/>
                <w:sz w:val="21"/>
                <w:szCs w:val="24"/>
                <w:lang w:val="en-US" w:eastAsia="zh-CN" w:bidi="ar-SA"/>
              </w:rPr>
            </w:pPr>
            <w:r>
              <w:rPr>
                <w:rFonts w:hint="eastAsia" w:ascii="Times New Roman" w:hAnsi="Times New Roman" w:eastAsia="Microsoft JhengHei" w:cs="Times New Roman"/>
                <w:b/>
                <w:snapToGrid w:val="0"/>
                <w:color w:val="000000"/>
                <w:kern w:val="2"/>
                <w:sz w:val="21"/>
                <w:szCs w:val="24"/>
                <w:lang w:val="en-US" w:eastAsia="zh-CN" w:bidi="ar-SA"/>
              </w:rPr>
              <w:t>裁量基准</w:t>
            </w:r>
          </w:p>
        </w:tc>
        <w:tc>
          <w:tcPr>
            <w:tcW w:w="2696"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p>
        </w:tc>
        <w:tc>
          <w:tcPr>
            <w:tcW w:w="3072"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从轻行政处罚，处5万元至6.5万元的罚款。</w:t>
            </w:r>
          </w:p>
        </w:tc>
        <w:tc>
          <w:tcPr>
            <w:tcW w:w="2988"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r>
              <w:rPr>
                <w:rFonts w:hint="eastAsia"/>
                <w:sz w:val="21"/>
                <w:lang w:val="en-US" w:eastAsia="zh-CN"/>
              </w:rPr>
              <w:t>一般行政处罚，处6.5万元以上8.5万元以下的罚款。</w:t>
            </w:r>
          </w:p>
        </w:tc>
        <w:tc>
          <w:tcPr>
            <w:tcW w:w="3002"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从重行政处罚，处8.5万元至10万元的罚款。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23" w:type="dxa"/>
            <w:vMerge w:val="continue"/>
            <w:tcBorders>
              <w:right w:val="single" w:color="000000" w:sz="8" w:space="0"/>
            </w:tcBorders>
            <w:noWrap w:val="0"/>
            <w:vAlign w:val="center"/>
          </w:tcPr>
          <w:p>
            <w:pPr>
              <w:autoSpaceDE/>
              <w:autoSpaceDN/>
              <w:snapToGrid w:val="0"/>
              <w:spacing w:line="400" w:lineRule="exact"/>
              <w:jc w:val="both"/>
              <w:rPr>
                <w:rFonts w:ascii="Times New Roman" w:hAnsi="Times New Roman" w:cs="Times New Roman"/>
                <w:snapToGrid w:val="0"/>
                <w:kern w:val="2"/>
                <w:sz w:val="2"/>
                <w:szCs w:val="2"/>
                <w:lang w:val="en-US" w:bidi="ar-SA"/>
              </w:rPr>
            </w:pPr>
          </w:p>
        </w:tc>
        <w:tc>
          <w:tcPr>
            <w:tcW w:w="1710" w:type="dxa"/>
            <w:tcBorders>
              <w:top w:val="single" w:color="000000" w:sz="8" w:space="0"/>
              <w:left w:val="single" w:color="000000" w:sz="8"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80" w:lineRule="exact"/>
              <w:jc w:val="both"/>
              <w:textAlignment w:val="auto"/>
              <w:rPr>
                <w:rFonts w:hint="eastAsia" w:ascii="Times New Roman" w:hAnsi="Times New Roman" w:eastAsia="Microsoft JhengHei" w:cs="Times New Roman"/>
                <w:bCs/>
                <w:snapToGrid w:val="0"/>
                <w:kern w:val="2"/>
                <w:sz w:val="21"/>
                <w:szCs w:val="24"/>
                <w:lang w:val="en-US" w:eastAsia="zh-CN" w:bidi="ar-SA"/>
              </w:rPr>
            </w:pPr>
            <w:r>
              <w:rPr>
                <w:rFonts w:hint="eastAsia" w:ascii="Times New Roman" w:hAnsi="Times New Roman" w:eastAsia="Microsoft JhengHei" w:cs="Times New Roman"/>
                <w:b/>
                <w:snapToGrid w:val="0"/>
                <w:kern w:val="2"/>
                <w:sz w:val="21"/>
                <w:szCs w:val="24"/>
                <w:lang w:val="en-US" w:eastAsia="zh-CN" w:bidi="ar-SA"/>
              </w:rPr>
              <w:t>裁量因素</w:t>
            </w:r>
            <w:r>
              <w:rPr>
                <w:rFonts w:hint="eastAsia" w:ascii="Times New Roman" w:hAnsi="Times New Roman" w:eastAsia="Microsoft JhengHei" w:cs="Times New Roman"/>
                <w:bCs/>
                <w:snapToGrid w:val="0"/>
                <w:kern w:val="2"/>
                <w:sz w:val="21"/>
                <w:szCs w:val="24"/>
                <w:lang w:val="en-US" w:eastAsia="zh-CN" w:bidi="ar-SA"/>
              </w:rPr>
              <w:t>（是指在进行裁量时，除裁量规则规定的从轻、减轻、从重情形外，可以考虑的因素）</w:t>
            </w:r>
          </w:p>
        </w:tc>
        <w:tc>
          <w:tcPr>
            <w:tcW w:w="11758" w:type="dxa"/>
            <w:gridSpan w:val="4"/>
            <w:tcBorders>
              <w:top w:val="single" w:color="000000" w:sz="8" w:space="0"/>
              <w:left w:val="single" w:color="auto" w:sz="4" w:space="0"/>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rPr>
                <w:rFonts w:hint="eastAsia" w:ascii="宋体" w:hAnsi="宋体" w:eastAsia="宋体" w:cs="宋体"/>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从轻处罚考虑因素：</w:t>
            </w:r>
            <w:r>
              <w:rPr>
                <w:rFonts w:hint="eastAsia" w:ascii="宋体" w:hAnsi="宋体" w:eastAsia="宋体" w:cs="宋体"/>
                <w:b w:val="0"/>
                <w:bCs w:val="0"/>
                <w:snapToGrid w:val="0"/>
                <w:color w:val="000000"/>
                <w:kern w:val="0"/>
                <w:sz w:val="21"/>
                <w:szCs w:val="21"/>
                <w:lang w:val="en-US" w:eastAsia="zh-CN" w:bidi="ar"/>
              </w:rPr>
              <w:t>逾期不超过十日的</w:t>
            </w:r>
            <w:r>
              <w:rPr>
                <w:rFonts w:hint="eastAsia" w:ascii="Times New Roman" w:hAnsi="Times New Roman" w:cs="宋体"/>
                <w:b w:val="0"/>
                <w:bCs w:val="0"/>
                <w:snapToGrid w:val="0"/>
                <w:color w:val="000000"/>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pacing w:line="240" w:lineRule="auto"/>
              <w:jc w:val="left"/>
              <w:rPr>
                <w:rFonts w:hint="default" w:ascii="Times New Roman" w:hAnsi="Times New Roman" w:eastAsia="宋体" w:cs="Times New Roman"/>
                <w:snapToGrid w:val="0"/>
                <w:kern w:val="2"/>
                <w:sz w:val="21"/>
                <w:szCs w:val="24"/>
                <w:lang w:val="en-US" w:eastAsia="zh-CN" w:bidi="ar-SA"/>
              </w:rPr>
            </w:pPr>
            <w:r>
              <w:rPr>
                <w:rFonts w:hint="eastAsia" w:ascii="宋体" w:hAnsi="宋体" w:eastAsia="宋体" w:cs="宋体"/>
                <w:b/>
                <w:bCs/>
                <w:snapToGrid w:val="0"/>
                <w:color w:val="000000"/>
                <w:kern w:val="0"/>
                <w:sz w:val="21"/>
                <w:szCs w:val="21"/>
                <w:lang w:val="en-US" w:eastAsia="zh-CN" w:bidi="ar"/>
              </w:rPr>
              <w:t>从重处罚考虑因素：</w:t>
            </w:r>
            <w:r>
              <w:rPr>
                <w:rFonts w:hint="eastAsia" w:ascii="宋体" w:hAnsi="宋体" w:eastAsia="宋体" w:cs="宋体"/>
                <w:b w:val="0"/>
                <w:bCs w:val="0"/>
                <w:snapToGrid w:val="0"/>
                <w:color w:val="000000"/>
                <w:kern w:val="0"/>
                <w:sz w:val="21"/>
                <w:szCs w:val="21"/>
                <w:lang w:val="en-US" w:eastAsia="zh-CN" w:bidi="ar"/>
              </w:rPr>
              <w:t>逾期超过</w:t>
            </w:r>
            <w:r>
              <w:rPr>
                <w:rFonts w:hint="eastAsia" w:ascii="Times New Roman" w:hAnsi="Times New Roman" w:cs="宋体"/>
                <w:b w:val="0"/>
                <w:bCs w:val="0"/>
                <w:snapToGrid w:val="0"/>
                <w:color w:val="000000"/>
                <w:kern w:val="0"/>
                <w:sz w:val="21"/>
                <w:szCs w:val="21"/>
                <w:lang w:val="en-US" w:eastAsia="zh-CN" w:bidi="ar"/>
              </w:rPr>
              <w:t>三十日</w:t>
            </w:r>
            <w:r>
              <w:rPr>
                <w:rFonts w:hint="eastAsia" w:ascii="宋体" w:hAnsi="宋体" w:eastAsia="宋体" w:cs="宋体"/>
                <w:b w:val="0"/>
                <w:bCs w:val="0"/>
                <w:snapToGrid w:val="0"/>
                <w:color w:val="000000"/>
                <w:kern w:val="0"/>
                <w:sz w:val="21"/>
                <w:szCs w:val="21"/>
                <w:lang w:val="en-US" w:eastAsia="zh-CN" w:bidi="ar"/>
              </w:rPr>
              <w:t>的</w:t>
            </w:r>
            <w:r>
              <w:rPr>
                <w:rFonts w:hint="eastAsia" w:ascii="Times New Roman" w:hAnsi="Times New Roman" w:cs="宋体"/>
                <w:b w:val="0"/>
                <w:bCs w:val="0"/>
                <w:snapToGrid w:val="0"/>
                <w:color w:val="000000"/>
                <w:kern w:val="0"/>
                <w:sz w:val="21"/>
                <w:szCs w:val="21"/>
                <w:lang w:val="en-US" w:eastAsia="zh-CN" w:bidi="ar"/>
              </w:rPr>
              <w:t>。</w:t>
            </w:r>
          </w:p>
        </w:tc>
      </w:tr>
    </w:tbl>
    <w:tbl>
      <w:tblPr>
        <w:tblStyle w:val="8"/>
        <w:tblpPr w:leftFromText="180" w:rightFromText="180" w:vertAnchor="page" w:horzAnchor="page" w:tblpX="1549" w:tblpY="1947"/>
        <w:tblOverlap w:val="never"/>
        <w:tblW w:w="140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3"/>
        <w:gridCol w:w="1607"/>
        <w:gridCol w:w="2683"/>
        <w:gridCol w:w="3056"/>
        <w:gridCol w:w="2981"/>
        <w:gridCol w:w="3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23" w:type="dxa"/>
            <w:vMerge w:val="restart"/>
            <w:tcBorders>
              <w:top w:val="single" w:color="auto" w:sz="4" w:space="0"/>
              <w:bottom w:val="nil"/>
              <w:right w:val="single" w:color="000000" w:sz="8" w:space="0"/>
            </w:tcBorders>
            <w:noWrap w:val="0"/>
            <w:vAlign w:val="center"/>
          </w:tcPr>
          <w:p>
            <w:pPr>
              <w:pStyle w:val="11"/>
              <w:snapToGrid w:val="0"/>
              <w:spacing w:line="400" w:lineRule="exact"/>
              <w:jc w:val="center"/>
              <w:rPr>
                <w:rFonts w:hint="default" w:ascii="Times New Roman" w:hAnsi="Times New Roman" w:eastAsia="宋体"/>
                <w:b/>
                <w:lang w:val="en-US" w:eastAsia="zh-CN"/>
              </w:rPr>
            </w:pPr>
            <w:r>
              <w:rPr>
                <w:rFonts w:hint="eastAsia" w:ascii="Times New Roman" w:hAnsi="Times New Roman"/>
                <w:b/>
                <w:lang w:val="en-US" w:eastAsia="zh-CN"/>
              </w:rPr>
              <w:t>28</w:t>
            </w:r>
          </w:p>
        </w:tc>
        <w:tc>
          <w:tcPr>
            <w:tcW w:w="1607" w:type="dxa"/>
            <w:noWrap w:val="0"/>
            <w:vAlign w:val="center"/>
          </w:tcPr>
          <w:p>
            <w:pPr>
              <w:pStyle w:val="11"/>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61" w:type="dxa"/>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ascii="Times New Roman" w:hAnsi="Times New Roman"/>
                <w:b/>
              </w:rPr>
            </w:pPr>
            <w:r>
              <w:rPr>
                <w:rFonts w:hint="eastAsia" w:ascii="Microsoft JhengHei"/>
                <w:b/>
                <w:sz w:val="21"/>
                <w:lang w:val="en-US" w:eastAsia="zh-CN"/>
              </w:rPr>
              <w:t>第二十八条  本条是对《药品网络销售监督管理办法》第三十八条“处3万元以上10万元以下的罚款”裁量基准的规定。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23"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7" w:type="dxa"/>
            <w:noWrap w:val="0"/>
            <w:vAlign w:val="center"/>
          </w:tcPr>
          <w:p>
            <w:pPr>
              <w:pStyle w:val="11"/>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61" w:type="dxa"/>
            <w:gridSpan w:val="4"/>
            <w:tcBorders>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40" w:firstLineChars="200"/>
              <w:jc w:val="both"/>
              <w:textAlignment w:val="auto"/>
              <w:rPr>
                <w:rFonts w:hint="eastAsia"/>
                <w:sz w:val="21"/>
                <w:lang w:val="en-US" w:eastAsia="zh-CN"/>
              </w:rPr>
            </w:pPr>
            <w:r>
              <w:rPr>
                <w:rFonts w:hint="eastAsia" w:eastAsiaTheme="minorEastAsia"/>
                <w:lang w:val="en-US" w:eastAsia="zh-CN"/>
              </w:rPr>
              <w:t>《</w:t>
            </w:r>
            <w:r>
              <w:rPr>
                <w:rFonts w:hint="eastAsia"/>
                <w:sz w:val="21"/>
                <w:lang w:val="en-US" w:eastAsia="zh-CN"/>
              </w:rPr>
              <w:t>药品网络销售监督管理办法》第三十八条 违反本办法第十七条第一款的规定，责令限期改正，处3万元以上10万元以下罚款；造成危害后果的，处10万元以上20万元以下罚款。</w:t>
            </w:r>
          </w:p>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ascii="Times New Roman" w:hAnsi="Times New Roman"/>
              </w:rPr>
            </w:pPr>
            <w:r>
              <w:rPr>
                <w:rFonts w:hint="eastAsia"/>
                <w:sz w:val="21"/>
                <w:lang w:val="en-US" w:eastAsia="zh-CN"/>
              </w:rPr>
              <w:t>《药品网络销售监督管理办法》第十七条第一款 第三方平台应当建立药品质量安全管理机构，配备药学技术人员承担药品质量安全管理工作，建立并实施药品质量安全、药品信息展示、处方审核、处方药实名购买、药品配送、交易记录保存、不良反应报告、投诉举报处理等管理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623"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7" w:type="dxa"/>
            <w:tcBorders>
              <w:top w:val="single" w:color="000000" w:sz="8" w:space="0"/>
              <w:left w:val="single" w:color="000000" w:sz="8" w:space="0"/>
              <w:bottom w:val="single" w:color="000000" w:sz="8" w:space="0"/>
              <w:right w:val="single" w:color="000000" w:sz="8" w:space="0"/>
            </w:tcBorders>
            <w:noWrap w:val="0"/>
            <w:vAlign w:val="center"/>
          </w:tcPr>
          <w:p>
            <w:pPr>
              <w:pStyle w:val="11"/>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683"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减轻处罚幅度</w:t>
            </w:r>
          </w:p>
        </w:tc>
        <w:tc>
          <w:tcPr>
            <w:tcW w:w="3056"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从轻处罚幅度</w:t>
            </w:r>
          </w:p>
        </w:tc>
        <w:tc>
          <w:tcPr>
            <w:tcW w:w="2981"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一般处罚幅度</w:t>
            </w:r>
          </w:p>
        </w:tc>
        <w:tc>
          <w:tcPr>
            <w:tcW w:w="3141"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623"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7" w:type="dxa"/>
            <w:tcBorders>
              <w:top w:val="single" w:color="000000" w:sz="8" w:space="0"/>
              <w:left w:val="single" w:color="000000" w:sz="8" w:space="0"/>
              <w:bottom w:val="single" w:color="000000" w:sz="8" w:space="0"/>
              <w:right w:val="single" w:color="000000" w:sz="8" w:space="0"/>
            </w:tcBorders>
            <w:noWrap w:val="0"/>
            <w:vAlign w:val="center"/>
          </w:tcPr>
          <w:p>
            <w:pPr>
              <w:pStyle w:val="11"/>
              <w:snapToGrid w:val="0"/>
              <w:spacing w:line="400" w:lineRule="exact"/>
              <w:jc w:val="center"/>
              <w:rPr>
                <w:rFonts w:ascii="Times New Roman" w:hAnsi="Times New Roman" w:eastAsia="Microsoft JhengHei"/>
                <w:b/>
                <w:color w:val="000000"/>
              </w:rPr>
            </w:pPr>
            <w:r>
              <w:rPr>
                <w:rFonts w:hint="eastAsia" w:ascii="Times New Roman" w:hAnsi="Times New Roman" w:eastAsia="Microsoft JhengHei"/>
                <w:b/>
                <w:color w:val="000000"/>
              </w:rPr>
              <w:t>裁量基准</w:t>
            </w:r>
          </w:p>
        </w:tc>
        <w:tc>
          <w:tcPr>
            <w:tcW w:w="2683"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r>
              <w:rPr>
                <w:rFonts w:hint="eastAsia"/>
                <w:sz w:val="21"/>
                <w:lang w:val="en-US" w:eastAsia="zh-CN"/>
              </w:rPr>
              <w:t>符合裁量规则减轻行政处罚情形的，处3万元以下的罚款。</w:t>
            </w:r>
          </w:p>
        </w:tc>
        <w:tc>
          <w:tcPr>
            <w:tcW w:w="3056"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从轻行政处罚，处3万元至5.1万元的罚款。</w:t>
            </w:r>
          </w:p>
        </w:tc>
        <w:tc>
          <w:tcPr>
            <w:tcW w:w="2981"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r>
              <w:rPr>
                <w:rFonts w:hint="eastAsia"/>
                <w:sz w:val="21"/>
                <w:lang w:val="en-US" w:eastAsia="zh-CN"/>
              </w:rPr>
              <w:t>一般行政处罚，处5.1万元以上7.9万元以下的罚款。</w:t>
            </w:r>
          </w:p>
        </w:tc>
        <w:tc>
          <w:tcPr>
            <w:tcW w:w="3141"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从重行政处罚，处7.9万元至10万元的罚款。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0" w:hRule="atLeast"/>
        </w:trPr>
        <w:tc>
          <w:tcPr>
            <w:tcW w:w="623"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07" w:type="dxa"/>
            <w:tcBorders>
              <w:top w:val="single" w:color="000000" w:sz="8" w:space="0"/>
              <w:left w:val="single" w:color="000000" w:sz="8" w:space="0"/>
              <w:bottom w:val="single" w:color="000000" w:sz="8" w:space="0"/>
              <w:right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val="0"/>
              <w:spacing w:line="280" w:lineRule="exact"/>
              <w:textAlignment w:val="auto"/>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61" w:type="dxa"/>
            <w:gridSpan w:val="4"/>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adjustRightInd/>
              <w:spacing w:line="24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从轻处罚考虑因素：</w:t>
            </w:r>
            <w:r>
              <w:rPr>
                <w:rFonts w:hint="eastAsia" w:ascii="宋体" w:hAnsi="宋体" w:cs="宋体"/>
                <w:b w:val="0"/>
                <w:bCs w:val="0"/>
                <w:color w:val="000000"/>
                <w:kern w:val="0"/>
                <w:sz w:val="21"/>
                <w:szCs w:val="21"/>
                <w:lang w:val="en-US" w:eastAsia="zh-CN" w:bidi="ar"/>
              </w:rPr>
              <w:t>建立了相关制度，实施过程中有瑕疵，未造成后果</w:t>
            </w:r>
            <w:r>
              <w:rPr>
                <w:rFonts w:hint="eastAsia" w:cs="宋体"/>
                <w:b w:val="0"/>
                <w:bCs w:val="0"/>
                <w:color w:val="000000"/>
                <w:kern w:val="0"/>
                <w:sz w:val="21"/>
                <w:szCs w:val="21"/>
                <w:lang w:val="en-US" w:eastAsia="zh-CN" w:bidi="ar"/>
              </w:rPr>
              <w:t>。</w:t>
            </w:r>
          </w:p>
          <w:p>
            <w:pPr>
              <w:keepNext w:val="0"/>
              <w:keepLines w:val="0"/>
              <w:pageBreakBefore w:val="0"/>
              <w:widowControl/>
              <w:suppressLineNumbers w:val="0"/>
              <w:kinsoku/>
              <w:wordWrap/>
              <w:overflowPunct/>
              <w:topLinePunct w:val="0"/>
              <w:bidi w:val="0"/>
              <w:adjustRightInd/>
              <w:spacing w:line="240" w:lineRule="auto"/>
              <w:jc w:val="left"/>
              <w:rPr>
                <w:rFonts w:hint="eastAsia" w:ascii="Times New Roman" w:hAnsi="Times New Roman"/>
              </w:rPr>
            </w:pPr>
            <w:r>
              <w:rPr>
                <w:rFonts w:hint="eastAsia" w:ascii="宋体" w:hAnsi="宋体" w:eastAsia="宋体" w:cs="宋体"/>
                <w:b/>
                <w:bCs/>
                <w:color w:val="000000"/>
                <w:kern w:val="0"/>
                <w:sz w:val="21"/>
                <w:szCs w:val="21"/>
                <w:lang w:val="en-US" w:eastAsia="zh-CN" w:bidi="ar"/>
              </w:rPr>
              <w:t>从重处罚考虑因素：</w:t>
            </w:r>
            <w:r>
              <w:rPr>
                <w:rFonts w:hint="eastAsia" w:ascii="宋体" w:hAnsi="宋体" w:cs="宋体"/>
                <w:b w:val="0"/>
                <w:bCs w:val="0"/>
                <w:color w:val="000000"/>
                <w:kern w:val="0"/>
                <w:sz w:val="21"/>
                <w:szCs w:val="21"/>
                <w:lang w:val="en-US" w:eastAsia="zh-CN" w:bidi="ar"/>
              </w:rPr>
              <w:t>未建立或未实施的制度超过3个以上</w:t>
            </w:r>
            <w:r>
              <w:rPr>
                <w:rFonts w:hint="eastAsia" w:cs="宋体"/>
                <w:b w:val="0"/>
                <w:bCs w:val="0"/>
                <w:color w:val="000000"/>
                <w:kern w:val="0"/>
                <w:sz w:val="21"/>
                <w:szCs w:val="21"/>
                <w:lang w:val="en-US" w:eastAsia="zh-CN" w:bidi="ar"/>
              </w:rPr>
              <w:t>。</w:t>
            </w:r>
          </w:p>
        </w:tc>
      </w:tr>
    </w:tbl>
    <w:p>
      <w:pPr>
        <w:snapToGrid w:val="0"/>
        <w:spacing w:line="400" w:lineRule="exact"/>
        <w:rPr>
          <w:rFonts w:ascii="Times New Roman" w:hAnsi="Times New Roman"/>
          <w:sz w:val="2"/>
          <w:szCs w:val="2"/>
        </w:rPr>
        <w:sectPr>
          <w:pgSz w:w="16838" w:h="11906" w:orient="landscape"/>
          <w:pgMar w:top="1800" w:right="1440" w:bottom="1800" w:left="1440" w:header="851" w:footer="992" w:gutter="0"/>
          <w:pgNumType w:fmt="decimal"/>
          <w:cols w:space="720" w:num="1"/>
          <w:docGrid w:type="lines" w:linePitch="312" w:charSpace="0"/>
        </w:sectPr>
      </w:pPr>
    </w:p>
    <w:tbl>
      <w:tblPr>
        <w:tblStyle w:val="8"/>
        <w:tblpPr w:leftFromText="180" w:rightFromText="180" w:vertAnchor="page" w:horzAnchor="page" w:tblpX="1531" w:tblpY="2142"/>
        <w:tblOverlap w:val="never"/>
        <w:tblW w:w="136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1594"/>
        <w:gridCol w:w="2681"/>
        <w:gridCol w:w="3056"/>
        <w:gridCol w:w="2963"/>
        <w:gridCol w:w="27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56" w:type="dxa"/>
            <w:vMerge w:val="restart"/>
            <w:tcBorders>
              <w:top w:val="single" w:color="auto" w:sz="4" w:space="0"/>
              <w:bottom w:val="nil"/>
              <w:right w:val="single" w:color="000000" w:sz="8" w:space="0"/>
            </w:tcBorders>
            <w:noWrap w:val="0"/>
            <w:vAlign w:val="center"/>
          </w:tcPr>
          <w:p>
            <w:pPr>
              <w:widowControl w:val="0"/>
              <w:snapToGrid w:val="0"/>
              <w:spacing w:line="400" w:lineRule="exact"/>
              <w:jc w:val="center"/>
              <w:rPr>
                <w:rFonts w:hint="default" w:ascii="Times New Roman" w:hAnsi="Times New Roman" w:eastAsia="宋体" w:cs="Times New Roman"/>
                <w:b/>
                <w:snapToGrid w:val="0"/>
                <w:kern w:val="2"/>
                <w:sz w:val="21"/>
                <w:szCs w:val="24"/>
                <w:lang w:val="en-US" w:eastAsia="zh-CN" w:bidi="ar-SA"/>
              </w:rPr>
            </w:pPr>
            <w:r>
              <w:rPr>
                <w:rFonts w:hint="eastAsia" w:ascii="Times New Roman" w:hAnsi="Times New Roman" w:cs="Times New Roman"/>
                <w:b/>
                <w:snapToGrid w:val="0"/>
                <w:kern w:val="2"/>
                <w:sz w:val="21"/>
                <w:szCs w:val="24"/>
                <w:lang w:val="en-US" w:eastAsia="zh-CN" w:bidi="ar-SA"/>
              </w:rPr>
              <w:t>29</w:t>
            </w:r>
          </w:p>
        </w:tc>
        <w:tc>
          <w:tcPr>
            <w:tcW w:w="1594" w:type="dxa"/>
            <w:noWrap w:val="0"/>
            <w:vAlign w:val="center"/>
          </w:tcPr>
          <w:p>
            <w:pPr>
              <w:widowControl w:val="0"/>
              <w:snapToGrid w:val="0"/>
              <w:spacing w:line="400" w:lineRule="exact"/>
              <w:jc w:val="center"/>
              <w:rPr>
                <w:rFonts w:hint="eastAsia" w:ascii="Times New Roman" w:hAnsi="Times New Roman" w:eastAsia="宋体" w:cs="Times New Roman"/>
                <w:b/>
                <w:snapToGrid w:val="0"/>
                <w:kern w:val="2"/>
                <w:sz w:val="21"/>
                <w:szCs w:val="24"/>
                <w:lang w:val="en-US" w:eastAsia="zh-CN" w:bidi="ar-SA"/>
              </w:rPr>
            </w:pPr>
            <w:r>
              <w:rPr>
                <w:rFonts w:hint="eastAsia" w:ascii="Times New Roman" w:hAnsi="Times New Roman" w:eastAsia="宋体" w:cs="Times New Roman"/>
                <w:b/>
                <w:snapToGrid w:val="0"/>
                <w:kern w:val="2"/>
                <w:sz w:val="21"/>
                <w:szCs w:val="24"/>
                <w:lang w:val="en-US" w:eastAsia="zh-CN" w:bidi="ar-SA"/>
              </w:rPr>
              <w:t>裁量条款</w:t>
            </w:r>
          </w:p>
        </w:tc>
        <w:tc>
          <w:tcPr>
            <w:tcW w:w="11427" w:type="dxa"/>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ascii="Times New Roman" w:hAnsi="Times New Roman" w:eastAsia="宋体" w:cs="Times New Roman"/>
                <w:b/>
                <w:snapToGrid w:val="0"/>
                <w:kern w:val="2"/>
                <w:sz w:val="21"/>
                <w:szCs w:val="24"/>
                <w:lang w:val="en-US" w:eastAsia="zh-CN" w:bidi="ar-SA"/>
              </w:rPr>
            </w:pPr>
            <w:r>
              <w:rPr>
                <w:rFonts w:hint="eastAsia" w:ascii="Microsoft JhengHei"/>
                <w:b/>
                <w:sz w:val="21"/>
                <w:lang w:val="en-US" w:eastAsia="zh-CN"/>
              </w:rPr>
              <w:t>第二十九条  本条是对《药品网络销售监督管理办法》第三十八条“处10万元以上20万元以下的罚款”裁量基准的规定。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56"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594" w:type="dxa"/>
            <w:noWrap w:val="0"/>
            <w:vAlign w:val="center"/>
          </w:tcPr>
          <w:p>
            <w:pPr>
              <w:widowControl w:val="0"/>
              <w:snapToGrid w:val="0"/>
              <w:spacing w:line="400" w:lineRule="exact"/>
              <w:jc w:val="center"/>
              <w:rPr>
                <w:rFonts w:hint="eastAsia" w:ascii="Times New Roman" w:hAnsi="Times New Roman" w:eastAsia="宋体" w:cs="Times New Roman"/>
                <w:b/>
                <w:snapToGrid w:val="0"/>
                <w:kern w:val="2"/>
                <w:sz w:val="21"/>
                <w:szCs w:val="24"/>
                <w:lang w:val="en-US" w:eastAsia="zh-CN" w:bidi="ar-SA"/>
              </w:rPr>
            </w:pPr>
            <w:r>
              <w:rPr>
                <w:rFonts w:hint="eastAsia" w:ascii="Times New Roman" w:hAnsi="Times New Roman" w:eastAsia="宋体" w:cs="Times New Roman"/>
                <w:b/>
                <w:snapToGrid w:val="0"/>
                <w:kern w:val="2"/>
                <w:sz w:val="21"/>
                <w:szCs w:val="24"/>
                <w:lang w:val="en-US" w:eastAsia="zh-CN" w:bidi="ar-SA"/>
              </w:rPr>
              <w:t>关联法条</w:t>
            </w:r>
          </w:p>
        </w:tc>
        <w:tc>
          <w:tcPr>
            <w:tcW w:w="11427" w:type="dxa"/>
            <w:gridSpan w:val="4"/>
            <w:tcBorders>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ascii="Times New Roman" w:hAnsi="Times New Roman" w:eastAsia="宋体" w:cs="Times New Roman"/>
                <w:snapToGrid w:val="0"/>
                <w:kern w:val="2"/>
                <w:sz w:val="21"/>
                <w:szCs w:val="24"/>
                <w:lang w:val="en-US" w:eastAsia="zh-CN" w:bidi="ar-SA"/>
              </w:rPr>
            </w:pPr>
            <w:r>
              <w:rPr>
                <w:rFonts w:hint="eastAsia"/>
                <w:sz w:val="21"/>
                <w:lang w:val="en-US" w:eastAsia="zh-CN"/>
              </w:rPr>
              <w:t xml:space="preserve">《药品网络销售监督管理办法》第三十八条 </w:t>
            </w:r>
            <w:r>
              <w:rPr>
                <w:rFonts w:hint="eastAsia"/>
                <w:sz w:val="21"/>
                <w:lang w:val="en-US"/>
              </w:rPr>
              <w:t>（详见本基准第二十</w:t>
            </w:r>
            <w:r>
              <w:rPr>
                <w:rFonts w:hint="eastAsia"/>
                <w:sz w:val="21"/>
                <w:lang w:val="en-US" w:eastAsia="zh-CN"/>
              </w:rPr>
              <w:t>八</w:t>
            </w:r>
            <w:r>
              <w:rPr>
                <w:rFonts w:hint="eastAsia"/>
                <w:sz w:val="21"/>
                <w:lang w:val="en-US"/>
              </w:rPr>
              <w:t>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656"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594" w:type="dxa"/>
            <w:tcBorders>
              <w:top w:val="single" w:color="000000" w:sz="8" w:space="0"/>
              <w:left w:val="single" w:color="000000" w:sz="8" w:space="0"/>
              <w:bottom w:val="single" w:color="000000" w:sz="8" w:space="0"/>
              <w:right w:val="single" w:color="000000" w:sz="8" w:space="0"/>
            </w:tcBorders>
            <w:noWrap w:val="0"/>
            <w:vAlign w:val="center"/>
          </w:tcPr>
          <w:p>
            <w:pPr>
              <w:widowControl w:val="0"/>
              <w:snapToGrid w:val="0"/>
              <w:spacing w:line="400" w:lineRule="exact"/>
              <w:jc w:val="center"/>
              <w:rPr>
                <w:rFonts w:ascii="Times New Roman" w:hAnsi="Times New Roman" w:eastAsia="Microsoft JhengHei" w:cs="Times New Roman"/>
                <w:b/>
                <w:snapToGrid w:val="0"/>
                <w:kern w:val="2"/>
                <w:sz w:val="21"/>
                <w:szCs w:val="24"/>
                <w:lang w:val="en-US" w:eastAsia="zh-CN" w:bidi="ar-SA"/>
              </w:rPr>
            </w:pPr>
            <w:r>
              <w:rPr>
                <w:rFonts w:hint="eastAsia" w:ascii="Times New Roman" w:hAnsi="Times New Roman" w:eastAsia="Microsoft JhengHei" w:cs="Times New Roman"/>
                <w:b/>
                <w:snapToGrid w:val="0"/>
                <w:kern w:val="2"/>
                <w:sz w:val="21"/>
                <w:szCs w:val="24"/>
                <w:lang w:val="en-US" w:eastAsia="zh-CN" w:bidi="ar-SA"/>
              </w:rPr>
              <w:t>裁量等级</w:t>
            </w:r>
          </w:p>
        </w:tc>
        <w:tc>
          <w:tcPr>
            <w:tcW w:w="2681"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减轻处罚幅度</w:t>
            </w:r>
          </w:p>
        </w:tc>
        <w:tc>
          <w:tcPr>
            <w:tcW w:w="3056"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从轻处罚幅度</w:t>
            </w:r>
          </w:p>
        </w:tc>
        <w:tc>
          <w:tcPr>
            <w:tcW w:w="2963"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一般处罚幅度</w:t>
            </w:r>
          </w:p>
        </w:tc>
        <w:tc>
          <w:tcPr>
            <w:tcW w:w="2727"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656"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594" w:type="dxa"/>
            <w:tcBorders>
              <w:top w:val="single" w:color="000000" w:sz="8" w:space="0"/>
              <w:left w:val="single" w:color="000000" w:sz="8" w:space="0"/>
              <w:bottom w:val="single" w:color="000000" w:sz="8" w:space="0"/>
              <w:right w:val="single" w:color="000000" w:sz="8" w:space="0"/>
            </w:tcBorders>
            <w:noWrap w:val="0"/>
            <w:vAlign w:val="center"/>
          </w:tcPr>
          <w:p>
            <w:pPr>
              <w:widowControl w:val="0"/>
              <w:snapToGrid w:val="0"/>
              <w:spacing w:line="400" w:lineRule="exact"/>
              <w:jc w:val="center"/>
              <w:rPr>
                <w:rFonts w:ascii="Times New Roman" w:hAnsi="Times New Roman" w:eastAsia="Microsoft JhengHei" w:cs="Times New Roman"/>
                <w:b/>
                <w:snapToGrid w:val="0"/>
                <w:color w:val="000000"/>
                <w:kern w:val="2"/>
                <w:sz w:val="21"/>
                <w:szCs w:val="24"/>
                <w:lang w:val="en-US" w:eastAsia="zh-CN" w:bidi="ar-SA"/>
              </w:rPr>
            </w:pPr>
            <w:r>
              <w:rPr>
                <w:rFonts w:hint="eastAsia" w:ascii="Times New Roman" w:hAnsi="Times New Roman" w:eastAsia="Microsoft JhengHei" w:cs="Times New Roman"/>
                <w:b/>
                <w:snapToGrid w:val="0"/>
                <w:color w:val="000000"/>
                <w:kern w:val="2"/>
                <w:sz w:val="21"/>
                <w:szCs w:val="24"/>
                <w:lang w:val="en-US" w:eastAsia="zh-CN" w:bidi="ar-SA"/>
              </w:rPr>
              <w:t>裁量基准</w:t>
            </w:r>
          </w:p>
        </w:tc>
        <w:tc>
          <w:tcPr>
            <w:tcW w:w="2681"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r>
              <w:rPr>
                <w:rFonts w:hint="eastAsia"/>
                <w:sz w:val="21"/>
                <w:lang w:val="en-US" w:eastAsia="zh-CN"/>
              </w:rPr>
              <w:t>符合裁量规则减轻行政处罚情形的，处10万元以下的罚款。</w:t>
            </w:r>
          </w:p>
        </w:tc>
        <w:tc>
          <w:tcPr>
            <w:tcW w:w="3056"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从轻行政处罚，处10万元至13万元的罚款。</w:t>
            </w:r>
          </w:p>
        </w:tc>
        <w:tc>
          <w:tcPr>
            <w:tcW w:w="2963"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r>
              <w:rPr>
                <w:rFonts w:hint="eastAsia"/>
                <w:sz w:val="21"/>
                <w:lang w:val="en-US" w:eastAsia="zh-CN"/>
              </w:rPr>
              <w:t>一般行政处罚，处13万元以上17万元以下的罚款。</w:t>
            </w:r>
          </w:p>
        </w:tc>
        <w:tc>
          <w:tcPr>
            <w:tcW w:w="2727"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从重行政处罚，处17万元至20万元的罚款。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0" w:hRule="atLeast"/>
        </w:trPr>
        <w:tc>
          <w:tcPr>
            <w:tcW w:w="656" w:type="dxa"/>
            <w:vMerge w:val="continue"/>
            <w:tcBorders>
              <w:right w:val="single" w:color="000000" w:sz="8" w:space="0"/>
            </w:tcBorders>
            <w:noWrap w:val="0"/>
            <w:vAlign w:val="center"/>
          </w:tcPr>
          <w:p>
            <w:pPr>
              <w:autoSpaceDE/>
              <w:autoSpaceDN/>
              <w:snapToGrid w:val="0"/>
              <w:spacing w:line="400" w:lineRule="exact"/>
              <w:jc w:val="both"/>
              <w:rPr>
                <w:rFonts w:ascii="Times New Roman" w:hAnsi="Times New Roman" w:cs="Times New Roman"/>
                <w:snapToGrid w:val="0"/>
                <w:kern w:val="2"/>
                <w:sz w:val="2"/>
                <w:szCs w:val="2"/>
                <w:lang w:val="en-US" w:bidi="ar-SA"/>
              </w:rPr>
            </w:pPr>
          </w:p>
        </w:tc>
        <w:tc>
          <w:tcPr>
            <w:tcW w:w="1594" w:type="dxa"/>
            <w:tcBorders>
              <w:top w:val="single" w:color="000000" w:sz="8" w:space="0"/>
              <w:left w:val="single" w:color="000000" w:sz="8"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80" w:lineRule="exact"/>
              <w:jc w:val="both"/>
              <w:textAlignment w:val="auto"/>
              <w:rPr>
                <w:rFonts w:hint="eastAsia" w:ascii="Times New Roman" w:hAnsi="Times New Roman" w:eastAsia="宋体" w:cs="Times New Roman"/>
                <w:snapToGrid w:val="0"/>
                <w:kern w:val="2"/>
                <w:sz w:val="21"/>
                <w:szCs w:val="24"/>
                <w:lang w:val="en-US" w:eastAsia="zh-CN" w:bidi="ar-SA"/>
              </w:rPr>
            </w:pPr>
            <w:r>
              <w:rPr>
                <w:rFonts w:hint="eastAsia" w:ascii="Times New Roman" w:hAnsi="Times New Roman" w:eastAsia="Microsoft JhengHei" w:cs="Times New Roman"/>
                <w:b/>
                <w:snapToGrid w:val="0"/>
                <w:kern w:val="2"/>
                <w:sz w:val="21"/>
                <w:szCs w:val="24"/>
                <w:lang w:val="en-US" w:eastAsia="zh-CN" w:bidi="ar-SA"/>
              </w:rPr>
              <w:t>裁量因素</w:t>
            </w:r>
            <w:r>
              <w:rPr>
                <w:rFonts w:hint="eastAsia" w:ascii="Times New Roman" w:hAnsi="Times New Roman" w:eastAsia="Microsoft JhengHei" w:cs="Times New Roman"/>
                <w:bCs/>
                <w:snapToGrid w:val="0"/>
                <w:kern w:val="2"/>
                <w:sz w:val="21"/>
                <w:szCs w:val="24"/>
                <w:lang w:val="en-US" w:eastAsia="zh-CN" w:bidi="ar-SA"/>
              </w:rPr>
              <w:t>（是指在进行裁量时，除裁量规则规定的从轻、减轻、从重情形外，可以考虑的因素）</w:t>
            </w:r>
          </w:p>
        </w:tc>
        <w:tc>
          <w:tcPr>
            <w:tcW w:w="11427" w:type="dxa"/>
            <w:gridSpan w:val="4"/>
            <w:tcBorders>
              <w:top w:val="single" w:color="000000" w:sz="8" w:space="0"/>
              <w:left w:val="single" w:color="auto" w:sz="4" w:space="0"/>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rPr>
                <w:rFonts w:hint="eastAsia" w:ascii="宋体" w:hAnsi="宋体" w:eastAsia="宋体" w:cs="宋体"/>
                <w:snapToGrid w:val="0"/>
                <w:color w:val="000000"/>
                <w:kern w:val="0"/>
                <w:sz w:val="21"/>
                <w:szCs w:val="21"/>
                <w:lang w:val="en-US" w:eastAsia="zh-CN" w:bidi="ar"/>
              </w:rPr>
            </w:pPr>
          </w:p>
          <w:p>
            <w:pPr>
              <w:widowControl w:val="0"/>
              <w:snapToGrid w:val="0"/>
              <w:spacing w:line="400" w:lineRule="exact"/>
              <w:jc w:val="both"/>
              <w:rPr>
                <w:rFonts w:hint="eastAsia" w:ascii="Times New Roman" w:hAnsi="Times New Roman" w:eastAsia="宋体" w:cs="Times New Roman"/>
                <w:snapToGrid w:val="0"/>
                <w:kern w:val="2"/>
                <w:sz w:val="21"/>
                <w:szCs w:val="24"/>
                <w:lang w:val="en-US" w:eastAsia="zh-CN" w:bidi="ar-SA"/>
              </w:rPr>
            </w:pPr>
          </w:p>
        </w:tc>
      </w:tr>
    </w:tbl>
    <w:p>
      <w:pPr>
        <w:pStyle w:val="11"/>
        <w:keepNext w:val="0"/>
        <w:keepLines w:val="0"/>
        <w:pageBreakBefore w:val="0"/>
        <w:widowControl w:val="0"/>
        <w:kinsoku/>
        <w:wordWrap/>
        <w:overflowPunct/>
        <w:topLinePunct w:val="0"/>
        <w:autoSpaceDE w:val="0"/>
        <w:autoSpaceDN w:val="0"/>
        <w:bidi w:val="0"/>
        <w:adjustRightInd/>
        <w:snapToGrid/>
        <w:spacing w:line="240" w:lineRule="auto"/>
        <w:ind w:right="0" w:firstLine="421" w:firstLineChars="200"/>
        <w:jc w:val="both"/>
        <w:textAlignment w:val="auto"/>
        <w:rPr>
          <w:rFonts w:hint="eastAsia" w:ascii="Microsoft JhengHei"/>
          <w:b/>
          <w:sz w:val="21"/>
          <w:lang w:val="en-US" w:eastAsia="zh-CN"/>
        </w:rPr>
        <w:sectPr>
          <w:pgSz w:w="16838" w:h="11906" w:orient="landscape"/>
          <w:pgMar w:top="1800" w:right="1440" w:bottom="1800" w:left="1440" w:header="851" w:footer="992" w:gutter="0"/>
          <w:pgNumType w:fmt="decimal"/>
          <w:cols w:space="720" w:num="1"/>
          <w:docGrid w:type="lines" w:linePitch="312" w:charSpace="0"/>
        </w:sectPr>
      </w:pPr>
    </w:p>
    <w:tbl>
      <w:tblPr>
        <w:tblStyle w:val="8"/>
        <w:tblpPr w:leftFromText="180" w:rightFromText="180" w:vertAnchor="page" w:horzAnchor="page" w:tblpX="1549" w:tblpY="2127"/>
        <w:tblOverlap w:val="never"/>
        <w:tblW w:w="136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9"/>
        <w:gridCol w:w="1631"/>
        <w:gridCol w:w="2663"/>
        <w:gridCol w:w="3056"/>
        <w:gridCol w:w="2944"/>
        <w:gridCol w:w="2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 w:hRule="atLeast"/>
        </w:trPr>
        <w:tc>
          <w:tcPr>
            <w:tcW w:w="619" w:type="dxa"/>
            <w:vMerge w:val="restart"/>
            <w:tcBorders>
              <w:top w:val="single" w:color="auto" w:sz="4" w:space="0"/>
              <w:bottom w:val="nil"/>
              <w:right w:val="single" w:color="000000" w:sz="8" w:space="0"/>
            </w:tcBorders>
            <w:noWrap w:val="0"/>
            <w:vAlign w:val="center"/>
          </w:tcPr>
          <w:p>
            <w:pPr>
              <w:widowControl w:val="0"/>
              <w:snapToGrid w:val="0"/>
              <w:spacing w:line="400" w:lineRule="exact"/>
              <w:jc w:val="center"/>
              <w:rPr>
                <w:rFonts w:hint="default" w:ascii="Times New Roman" w:hAnsi="Times New Roman" w:eastAsia="宋体" w:cs="Times New Roman"/>
                <w:b/>
                <w:snapToGrid w:val="0"/>
                <w:kern w:val="2"/>
                <w:sz w:val="21"/>
                <w:szCs w:val="24"/>
                <w:lang w:val="en-US" w:eastAsia="zh-CN" w:bidi="ar-SA"/>
              </w:rPr>
            </w:pPr>
            <w:r>
              <w:rPr>
                <w:rFonts w:hint="eastAsia" w:ascii="Times New Roman" w:hAnsi="Times New Roman" w:cs="Times New Roman"/>
                <w:b/>
                <w:snapToGrid w:val="0"/>
                <w:kern w:val="2"/>
                <w:sz w:val="21"/>
                <w:szCs w:val="24"/>
                <w:lang w:val="en-US" w:eastAsia="zh-CN" w:bidi="ar-SA"/>
              </w:rPr>
              <w:t>30</w:t>
            </w:r>
          </w:p>
        </w:tc>
        <w:tc>
          <w:tcPr>
            <w:tcW w:w="1631" w:type="dxa"/>
            <w:noWrap w:val="0"/>
            <w:vAlign w:val="center"/>
          </w:tcPr>
          <w:p>
            <w:pPr>
              <w:widowControl w:val="0"/>
              <w:snapToGrid w:val="0"/>
              <w:spacing w:line="400" w:lineRule="exact"/>
              <w:jc w:val="center"/>
              <w:rPr>
                <w:rFonts w:hint="eastAsia" w:ascii="Times New Roman" w:hAnsi="Times New Roman" w:eastAsia="宋体" w:cs="Times New Roman"/>
                <w:b/>
                <w:snapToGrid w:val="0"/>
                <w:kern w:val="2"/>
                <w:sz w:val="21"/>
                <w:szCs w:val="24"/>
                <w:lang w:val="en-US" w:eastAsia="zh-CN" w:bidi="ar-SA"/>
              </w:rPr>
            </w:pPr>
            <w:r>
              <w:rPr>
                <w:rFonts w:hint="eastAsia" w:ascii="Times New Roman" w:hAnsi="Times New Roman" w:eastAsia="宋体" w:cs="Times New Roman"/>
                <w:b/>
                <w:snapToGrid w:val="0"/>
                <w:kern w:val="2"/>
                <w:sz w:val="21"/>
                <w:szCs w:val="24"/>
                <w:lang w:val="en-US" w:eastAsia="zh-CN" w:bidi="ar-SA"/>
              </w:rPr>
              <w:t>裁量条款</w:t>
            </w:r>
          </w:p>
        </w:tc>
        <w:tc>
          <w:tcPr>
            <w:tcW w:w="11400" w:type="dxa"/>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ascii="Times New Roman" w:hAnsi="Times New Roman" w:eastAsia="宋体" w:cs="Times New Roman"/>
                <w:b/>
                <w:snapToGrid w:val="0"/>
                <w:kern w:val="2"/>
                <w:sz w:val="21"/>
                <w:szCs w:val="24"/>
                <w:lang w:val="en-US" w:eastAsia="zh-CN" w:bidi="ar-SA"/>
              </w:rPr>
            </w:pPr>
            <w:r>
              <w:rPr>
                <w:rFonts w:hint="eastAsia" w:ascii="Microsoft JhengHei"/>
                <w:b/>
                <w:sz w:val="21"/>
                <w:lang w:val="en-US" w:eastAsia="zh-CN"/>
              </w:rPr>
              <w:t>第三十条  本条是对《药品网络销售监督管理办法》第三十九条“处5万元以上10万元以下的罚款”裁量基准的规定。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19"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631" w:type="dxa"/>
            <w:noWrap w:val="0"/>
            <w:vAlign w:val="center"/>
          </w:tcPr>
          <w:p>
            <w:pPr>
              <w:widowControl w:val="0"/>
              <w:snapToGrid w:val="0"/>
              <w:spacing w:line="400" w:lineRule="exact"/>
              <w:jc w:val="center"/>
              <w:rPr>
                <w:rFonts w:hint="eastAsia" w:ascii="Times New Roman" w:hAnsi="Times New Roman" w:eastAsia="宋体" w:cs="Times New Roman"/>
                <w:b/>
                <w:snapToGrid w:val="0"/>
                <w:kern w:val="2"/>
                <w:sz w:val="21"/>
                <w:szCs w:val="24"/>
                <w:lang w:val="en-US" w:eastAsia="zh-CN" w:bidi="ar-SA"/>
              </w:rPr>
            </w:pPr>
            <w:r>
              <w:rPr>
                <w:rFonts w:hint="eastAsia" w:ascii="Times New Roman" w:hAnsi="Times New Roman" w:eastAsia="宋体" w:cs="Times New Roman"/>
                <w:b/>
                <w:snapToGrid w:val="0"/>
                <w:kern w:val="2"/>
                <w:sz w:val="21"/>
                <w:szCs w:val="24"/>
                <w:lang w:val="en-US" w:eastAsia="zh-CN" w:bidi="ar-SA"/>
              </w:rPr>
              <w:t>关联法条</w:t>
            </w:r>
          </w:p>
        </w:tc>
        <w:tc>
          <w:tcPr>
            <w:tcW w:w="11400" w:type="dxa"/>
            <w:gridSpan w:val="4"/>
            <w:tcBorders>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eastAsia"/>
                <w:sz w:val="21"/>
                <w:lang w:val="en-US" w:eastAsia="zh-CN"/>
              </w:rPr>
            </w:pPr>
            <w:r>
              <w:rPr>
                <w:rFonts w:hint="eastAsia"/>
                <w:sz w:val="21"/>
                <w:lang w:val="en-US" w:eastAsia="zh-CN"/>
              </w:rPr>
              <w:t>《药品网络销售监督管理办法》第三十九条 违反本办法第十八条的规定，责令限期改正；逾期不改正的，处5万元以上10万元以下罚款；造成危害后果的，处10万元以上20万元以下罚款。</w:t>
            </w:r>
          </w:p>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ascii="Times New Roman" w:hAnsi="Times New Roman" w:eastAsia="宋体" w:cs="Times New Roman"/>
                <w:snapToGrid w:val="0"/>
                <w:kern w:val="2"/>
                <w:sz w:val="21"/>
                <w:szCs w:val="24"/>
                <w:lang w:val="en-US" w:eastAsia="zh-CN" w:bidi="ar-SA"/>
              </w:rPr>
            </w:pPr>
            <w:r>
              <w:rPr>
                <w:rFonts w:hint="eastAsia"/>
                <w:sz w:val="21"/>
                <w:lang w:val="en-US" w:eastAsia="zh-CN"/>
              </w:rPr>
              <w:t>《药品网络销售监督管理办法》第十八条 第三方平台应当将企业名称、法定代表人、统一社会信用代码、网站名称以及域名等信息向平台所在地省级药品监督管理部门备案。省级药品监督管理部门应当将平台备案信息公示。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619"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631" w:type="dxa"/>
            <w:tcBorders>
              <w:top w:val="single" w:color="000000" w:sz="8" w:space="0"/>
              <w:left w:val="single" w:color="000000" w:sz="8" w:space="0"/>
              <w:bottom w:val="single" w:color="000000" w:sz="8" w:space="0"/>
              <w:right w:val="single" w:color="000000" w:sz="8" w:space="0"/>
            </w:tcBorders>
            <w:noWrap w:val="0"/>
            <w:vAlign w:val="center"/>
          </w:tcPr>
          <w:p>
            <w:pPr>
              <w:widowControl w:val="0"/>
              <w:snapToGrid w:val="0"/>
              <w:spacing w:line="400" w:lineRule="exact"/>
              <w:jc w:val="center"/>
              <w:rPr>
                <w:rFonts w:ascii="Times New Roman" w:hAnsi="Times New Roman" w:eastAsia="Microsoft JhengHei" w:cs="Times New Roman"/>
                <w:b/>
                <w:snapToGrid w:val="0"/>
                <w:kern w:val="2"/>
                <w:sz w:val="21"/>
                <w:szCs w:val="24"/>
                <w:lang w:val="en-US" w:eastAsia="zh-CN" w:bidi="ar-SA"/>
              </w:rPr>
            </w:pPr>
            <w:r>
              <w:rPr>
                <w:rFonts w:hint="eastAsia" w:ascii="Times New Roman" w:hAnsi="Times New Roman" w:eastAsia="Microsoft JhengHei" w:cs="Times New Roman"/>
                <w:b/>
                <w:snapToGrid w:val="0"/>
                <w:kern w:val="2"/>
                <w:sz w:val="21"/>
                <w:szCs w:val="24"/>
                <w:lang w:val="en-US" w:eastAsia="zh-CN" w:bidi="ar-SA"/>
              </w:rPr>
              <w:t>裁量等级</w:t>
            </w:r>
          </w:p>
        </w:tc>
        <w:tc>
          <w:tcPr>
            <w:tcW w:w="2663"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减轻处罚幅度</w:t>
            </w:r>
          </w:p>
        </w:tc>
        <w:tc>
          <w:tcPr>
            <w:tcW w:w="3056"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从轻处罚幅度</w:t>
            </w:r>
          </w:p>
        </w:tc>
        <w:tc>
          <w:tcPr>
            <w:tcW w:w="2944"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一般处罚幅度</w:t>
            </w:r>
          </w:p>
        </w:tc>
        <w:tc>
          <w:tcPr>
            <w:tcW w:w="2737"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619"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631" w:type="dxa"/>
            <w:tcBorders>
              <w:top w:val="single" w:color="000000" w:sz="8" w:space="0"/>
              <w:left w:val="single" w:color="000000" w:sz="8" w:space="0"/>
              <w:bottom w:val="single" w:color="000000" w:sz="8" w:space="0"/>
              <w:right w:val="single" w:color="000000" w:sz="8" w:space="0"/>
            </w:tcBorders>
            <w:noWrap w:val="0"/>
            <w:vAlign w:val="center"/>
          </w:tcPr>
          <w:p>
            <w:pPr>
              <w:widowControl w:val="0"/>
              <w:snapToGrid w:val="0"/>
              <w:spacing w:line="400" w:lineRule="exact"/>
              <w:jc w:val="center"/>
              <w:rPr>
                <w:rFonts w:ascii="Times New Roman" w:hAnsi="Times New Roman" w:eastAsia="Microsoft JhengHei" w:cs="Times New Roman"/>
                <w:b/>
                <w:snapToGrid w:val="0"/>
                <w:color w:val="000000"/>
                <w:kern w:val="2"/>
                <w:sz w:val="21"/>
                <w:szCs w:val="24"/>
                <w:lang w:val="en-US" w:eastAsia="zh-CN" w:bidi="ar-SA"/>
              </w:rPr>
            </w:pPr>
            <w:r>
              <w:rPr>
                <w:rFonts w:hint="eastAsia" w:ascii="Times New Roman" w:hAnsi="Times New Roman" w:eastAsia="Microsoft JhengHei" w:cs="Times New Roman"/>
                <w:b/>
                <w:snapToGrid w:val="0"/>
                <w:color w:val="000000"/>
                <w:kern w:val="2"/>
                <w:sz w:val="21"/>
                <w:szCs w:val="24"/>
                <w:lang w:val="en-US" w:eastAsia="zh-CN" w:bidi="ar-SA"/>
              </w:rPr>
              <w:t>裁量基准</w:t>
            </w:r>
          </w:p>
        </w:tc>
        <w:tc>
          <w:tcPr>
            <w:tcW w:w="2663"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p>
        </w:tc>
        <w:tc>
          <w:tcPr>
            <w:tcW w:w="3056"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从轻行政处罚，处5万元至6.5万元的罚款。</w:t>
            </w:r>
          </w:p>
        </w:tc>
        <w:tc>
          <w:tcPr>
            <w:tcW w:w="2944"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r>
              <w:rPr>
                <w:rFonts w:hint="eastAsia"/>
                <w:sz w:val="21"/>
                <w:lang w:val="en-US" w:eastAsia="zh-CN"/>
              </w:rPr>
              <w:t>一般行政处罚，处6.5万元以上8.5万元以下的罚款。</w:t>
            </w:r>
          </w:p>
        </w:tc>
        <w:tc>
          <w:tcPr>
            <w:tcW w:w="2737"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从重行政处罚，处8.5万元至10万元的罚款。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0" w:hRule="atLeast"/>
        </w:trPr>
        <w:tc>
          <w:tcPr>
            <w:tcW w:w="619" w:type="dxa"/>
            <w:vMerge w:val="continue"/>
            <w:tcBorders>
              <w:right w:val="single" w:color="000000" w:sz="8" w:space="0"/>
            </w:tcBorders>
            <w:noWrap w:val="0"/>
            <w:vAlign w:val="center"/>
          </w:tcPr>
          <w:p>
            <w:pPr>
              <w:autoSpaceDE/>
              <w:autoSpaceDN/>
              <w:snapToGrid w:val="0"/>
              <w:spacing w:line="400" w:lineRule="exact"/>
              <w:jc w:val="both"/>
              <w:rPr>
                <w:rFonts w:ascii="Times New Roman" w:hAnsi="Times New Roman" w:cs="Times New Roman"/>
                <w:snapToGrid w:val="0"/>
                <w:kern w:val="2"/>
                <w:sz w:val="2"/>
                <w:szCs w:val="2"/>
                <w:lang w:val="en-US" w:bidi="ar-SA"/>
              </w:rPr>
            </w:pPr>
          </w:p>
        </w:tc>
        <w:tc>
          <w:tcPr>
            <w:tcW w:w="1631" w:type="dxa"/>
            <w:tcBorders>
              <w:top w:val="single" w:color="000000" w:sz="8" w:space="0"/>
              <w:left w:val="single" w:color="000000" w:sz="8" w:space="0"/>
              <w:bottom w:val="single" w:color="000000" w:sz="8"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80" w:lineRule="exact"/>
              <w:jc w:val="both"/>
              <w:textAlignment w:val="auto"/>
              <w:rPr>
                <w:rFonts w:hint="eastAsia" w:ascii="Times New Roman" w:hAnsi="Times New Roman" w:eastAsia="宋体" w:cs="Times New Roman"/>
                <w:snapToGrid w:val="0"/>
                <w:kern w:val="2"/>
                <w:sz w:val="21"/>
                <w:szCs w:val="24"/>
                <w:lang w:val="en-US" w:eastAsia="zh-CN" w:bidi="ar-SA"/>
              </w:rPr>
            </w:pPr>
            <w:r>
              <w:rPr>
                <w:rFonts w:hint="eastAsia" w:ascii="Times New Roman" w:hAnsi="Times New Roman" w:eastAsia="Microsoft JhengHei" w:cs="Times New Roman"/>
                <w:b/>
                <w:snapToGrid w:val="0"/>
                <w:kern w:val="2"/>
                <w:sz w:val="21"/>
                <w:szCs w:val="24"/>
                <w:lang w:val="en-US" w:eastAsia="zh-CN" w:bidi="ar-SA"/>
              </w:rPr>
              <w:t>裁量因素</w:t>
            </w:r>
            <w:r>
              <w:rPr>
                <w:rFonts w:hint="eastAsia" w:ascii="Times New Roman" w:hAnsi="Times New Roman" w:eastAsia="Microsoft JhengHei" w:cs="Times New Roman"/>
                <w:bCs/>
                <w:snapToGrid w:val="0"/>
                <w:kern w:val="2"/>
                <w:sz w:val="21"/>
                <w:szCs w:val="24"/>
                <w:lang w:val="en-US" w:eastAsia="zh-CN" w:bidi="ar-SA"/>
              </w:rPr>
              <w:t>（是指在进行裁量时，除裁量规则规定的从轻、减轻、从重情形外，可以考虑的因素）</w:t>
            </w:r>
          </w:p>
        </w:tc>
        <w:tc>
          <w:tcPr>
            <w:tcW w:w="11400" w:type="dxa"/>
            <w:gridSpan w:val="4"/>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rPr>
                <w:rFonts w:hint="eastAsia" w:ascii="宋体" w:hAnsi="宋体" w:eastAsia="宋体" w:cs="宋体"/>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从轻处罚考虑因素：</w:t>
            </w:r>
            <w:r>
              <w:rPr>
                <w:rFonts w:hint="eastAsia" w:ascii="宋体" w:hAnsi="宋体" w:eastAsia="宋体" w:cs="宋体"/>
                <w:b w:val="0"/>
                <w:bCs w:val="0"/>
                <w:snapToGrid w:val="0"/>
                <w:color w:val="000000"/>
                <w:kern w:val="0"/>
                <w:sz w:val="21"/>
                <w:szCs w:val="21"/>
                <w:lang w:val="en-US" w:eastAsia="zh-CN" w:bidi="ar"/>
              </w:rPr>
              <w:t>逾期不超过十日的</w:t>
            </w:r>
            <w:r>
              <w:rPr>
                <w:rFonts w:hint="eastAsia" w:ascii="Times New Roman" w:hAnsi="Times New Roman" w:cs="宋体"/>
                <w:b w:val="0"/>
                <w:bCs w:val="0"/>
                <w:snapToGrid w:val="0"/>
                <w:color w:val="000000"/>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pacing w:line="240" w:lineRule="auto"/>
              <w:jc w:val="left"/>
              <w:rPr>
                <w:rFonts w:hint="default" w:ascii="Times New Roman" w:hAnsi="Times New Roman" w:eastAsia="宋体" w:cs="Times New Roman"/>
                <w:snapToGrid w:val="0"/>
                <w:kern w:val="2"/>
                <w:sz w:val="21"/>
                <w:szCs w:val="24"/>
                <w:lang w:val="en-US" w:eastAsia="zh-CN" w:bidi="ar-SA"/>
              </w:rPr>
            </w:pPr>
            <w:r>
              <w:rPr>
                <w:rFonts w:hint="eastAsia" w:ascii="宋体" w:hAnsi="宋体" w:eastAsia="宋体" w:cs="宋体"/>
                <w:b/>
                <w:bCs/>
                <w:snapToGrid w:val="0"/>
                <w:color w:val="000000"/>
                <w:kern w:val="0"/>
                <w:sz w:val="21"/>
                <w:szCs w:val="21"/>
                <w:lang w:val="en-US" w:eastAsia="zh-CN" w:bidi="ar"/>
              </w:rPr>
              <w:t>从重处罚考虑因素：</w:t>
            </w:r>
            <w:r>
              <w:rPr>
                <w:rFonts w:hint="eastAsia" w:ascii="宋体" w:hAnsi="宋体" w:eastAsia="宋体" w:cs="宋体"/>
                <w:b w:val="0"/>
                <w:bCs w:val="0"/>
                <w:snapToGrid w:val="0"/>
                <w:color w:val="000000"/>
                <w:kern w:val="0"/>
                <w:sz w:val="21"/>
                <w:szCs w:val="21"/>
                <w:lang w:val="en-US" w:eastAsia="zh-CN" w:bidi="ar"/>
              </w:rPr>
              <w:t>逾期超过</w:t>
            </w:r>
            <w:r>
              <w:rPr>
                <w:rFonts w:hint="eastAsia" w:cs="宋体"/>
                <w:b w:val="0"/>
                <w:bCs w:val="0"/>
                <w:snapToGrid w:val="0"/>
                <w:color w:val="000000"/>
                <w:kern w:val="0"/>
                <w:sz w:val="21"/>
                <w:szCs w:val="21"/>
                <w:lang w:val="en-US" w:eastAsia="zh-CN" w:bidi="ar"/>
              </w:rPr>
              <w:t>三十日</w:t>
            </w:r>
            <w:r>
              <w:rPr>
                <w:rFonts w:hint="eastAsia" w:ascii="宋体" w:hAnsi="宋体" w:eastAsia="宋体" w:cs="宋体"/>
                <w:b w:val="0"/>
                <w:bCs w:val="0"/>
                <w:snapToGrid w:val="0"/>
                <w:color w:val="000000"/>
                <w:kern w:val="0"/>
                <w:sz w:val="21"/>
                <w:szCs w:val="21"/>
                <w:lang w:val="en-US" w:eastAsia="zh-CN" w:bidi="ar"/>
              </w:rPr>
              <w:t>的</w:t>
            </w:r>
            <w:r>
              <w:rPr>
                <w:rFonts w:hint="eastAsia" w:ascii="Times New Roman" w:hAnsi="Times New Roman" w:cs="宋体"/>
                <w:b w:val="0"/>
                <w:bCs w:val="0"/>
                <w:snapToGrid w:val="0"/>
                <w:color w:val="000000"/>
                <w:kern w:val="0"/>
                <w:sz w:val="21"/>
                <w:szCs w:val="21"/>
                <w:lang w:val="en-US" w:eastAsia="zh-CN" w:bidi="ar"/>
              </w:rPr>
              <w:t>。</w:t>
            </w:r>
          </w:p>
        </w:tc>
      </w:tr>
    </w:tbl>
    <w:p>
      <w:pPr>
        <w:pStyle w:val="11"/>
        <w:keepNext w:val="0"/>
        <w:keepLines w:val="0"/>
        <w:pageBreakBefore w:val="0"/>
        <w:widowControl w:val="0"/>
        <w:kinsoku/>
        <w:wordWrap/>
        <w:overflowPunct/>
        <w:topLinePunct w:val="0"/>
        <w:autoSpaceDE w:val="0"/>
        <w:autoSpaceDN w:val="0"/>
        <w:bidi w:val="0"/>
        <w:adjustRightInd/>
        <w:snapToGrid/>
        <w:spacing w:line="240" w:lineRule="auto"/>
        <w:ind w:right="0" w:firstLine="421" w:firstLineChars="200"/>
        <w:jc w:val="both"/>
        <w:textAlignment w:val="auto"/>
        <w:rPr>
          <w:rFonts w:hint="eastAsia" w:ascii="Microsoft JhengHei"/>
          <w:b/>
          <w:sz w:val="21"/>
          <w:lang w:val="en-US" w:eastAsia="zh-CN"/>
        </w:rPr>
        <w:sectPr>
          <w:pgSz w:w="16838" w:h="11906" w:orient="landscape"/>
          <w:pgMar w:top="1800" w:right="1440" w:bottom="1800" w:left="1440" w:header="851" w:footer="992" w:gutter="0"/>
          <w:pgNumType w:fmt="decimal"/>
          <w:cols w:space="720" w:num="1"/>
          <w:docGrid w:type="lines" w:linePitch="312" w:charSpace="0"/>
        </w:sectPr>
      </w:pPr>
    </w:p>
    <w:tbl>
      <w:tblPr>
        <w:tblStyle w:val="8"/>
        <w:tblpPr w:leftFromText="180" w:rightFromText="180" w:vertAnchor="page" w:horzAnchor="page" w:tblpX="1621" w:tblpY="2274"/>
        <w:tblOverlap w:val="never"/>
        <w:tblW w:w="13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3"/>
        <w:gridCol w:w="1607"/>
        <w:gridCol w:w="2611"/>
        <w:gridCol w:w="3075"/>
        <w:gridCol w:w="2944"/>
        <w:gridCol w:w="2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23" w:type="dxa"/>
            <w:vMerge w:val="restart"/>
            <w:tcBorders>
              <w:top w:val="single" w:color="auto" w:sz="4" w:space="0"/>
              <w:bottom w:val="nil"/>
              <w:right w:val="single" w:color="000000" w:sz="8" w:space="0"/>
            </w:tcBorders>
            <w:noWrap w:val="0"/>
            <w:vAlign w:val="center"/>
          </w:tcPr>
          <w:p>
            <w:pPr>
              <w:widowControl w:val="0"/>
              <w:snapToGrid w:val="0"/>
              <w:spacing w:line="400" w:lineRule="exact"/>
              <w:jc w:val="center"/>
              <w:rPr>
                <w:rFonts w:hint="default" w:ascii="Times New Roman" w:hAnsi="Times New Roman" w:eastAsia="宋体" w:cs="Times New Roman"/>
                <w:b/>
                <w:snapToGrid w:val="0"/>
                <w:kern w:val="2"/>
                <w:sz w:val="21"/>
                <w:szCs w:val="24"/>
                <w:lang w:val="en-US" w:eastAsia="zh-CN" w:bidi="ar-SA"/>
              </w:rPr>
            </w:pPr>
            <w:r>
              <w:rPr>
                <w:rFonts w:hint="eastAsia" w:ascii="Times New Roman" w:hAnsi="Times New Roman" w:cs="Times New Roman"/>
                <w:b/>
                <w:snapToGrid w:val="0"/>
                <w:kern w:val="2"/>
                <w:sz w:val="21"/>
                <w:szCs w:val="24"/>
                <w:lang w:val="en-US" w:eastAsia="zh-CN" w:bidi="ar-SA"/>
              </w:rPr>
              <w:t>31</w:t>
            </w:r>
          </w:p>
        </w:tc>
        <w:tc>
          <w:tcPr>
            <w:tcW w:w="1607" w:type="dxa"/>
            <w:noWrap w:val="0"/>
            <w:vAlign w:val="center"/>
          </w:tcPr>
          <w:p>
            <w:pPr>
              <w:widowControl w:val="0"/>
              <w:snapToGrid w:val="0"/>
              <w:spacing w:line="400" w:lineRule="exact"/>
              <w:jc w:val="center"/>
              <w:rPr>
                <w:rFonts w:hint="eastAsia" w:ascii="Times New Roman" w:hAnsi="Times New Roman" w:eastAsia="宋体" w:cs="Times New Roman"/>
                <w:b/>
                <w:snapToGrid w:val="0"/>
                <w:kern w:val="2"/>
                <w:sz w:val="21"/>
                <w:szCs w:val="24"/>
                <w:lang w:val="en-US" w:eastAsia="zh-CN" w:bidi="ar-SA"/>
              </w:rPr>
            </w:pPr>
            <w:r>
              <w:rPr>
                <w:rFonts w:hint="eastAsia" w:ascii="Times New Roman" w:hAnsi="Times New Roman" w:eastAsia="宋体" w:cs="Times New Roman"/>
                <w:b/>
                <w:snapToGrid w:val="0"/>
                <w:kern w:val="2"/>
                <w:sz w:val="21"/>
                <w:szCs w:val="24"/>
                <w:lang w:val="en-US" w:eastAsia="zh-CN" w:bidi="ar-SA"/>
              </w:rPr>
              <w:t>裁量条款</w:t>
            </w:r>
          </w:p>
        </w:tc>
        <w:tc>
          <w:tcPr>
            <w:tcW w:w="11348" w:type="dxa"/>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hint="eastAsia" w:ascii="Microsoft JhengHei"/>
                <w:b/>
                <w:sz w:val="21"/>
                <w:lang w:val="en-US" w:eastAsia="zh-CN"/>
              </w:rPr>
            </w:pPr>
            <w:r>
              <w:rPr>
                <w:rFonts w:hint="eastAsia" w:ascii="Microsoft JhengHei"/>
                <w:b/>
                <w:sz w:val="21"/>
                <w:lang w:val="en-US" w:eastAsia="zh-CN"/>
              </w:rPr>
              <w:t>第三十一条  本条是对《药品网络销售监督管理办法》第三十九条“处10万元以上20万元以下的罚款”裁量基准的规定。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23"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607" w:type="dxa"/>
            <w:noWrap w:val="0"/>
            <w:vAlign w:val="center"/>
          </w:tcPr>
          <w:p>
            <w:pPr>
              <w:widowControl w:val="0"/>
              <w:snapToGrid w:val="0"/>
              <w:spacing w:line="400" w:lineRule="exact"/>
              <w:jc w:val="center"/>
              <w:rPr>
                <w:rFonts w:hint="eastAsia" w:ascii="Times New Roman" w:hAnsi="Times New Roman" w:eastAsia="宋体" w:cs="Times New Roman"/>
                <w:b/>
                <w:snapToGrid w:val="0"/>
                <w:kern w:val="2"/>
                <w:sz w:val="21"/>
                <w:szCs w:val="24"/>
                <w:lang w:val="en-US" w:eastAsia="zh-CN" w:bidi="ar-SA"/>
              </w:rPr>
            </w:pPr>
            <w:r>
              <w:rPr>
                <w:rFonts w:hint="eastAsia" w:ascii="Times New Roman" w:hAnsi="Times New Roman" w:eastAsia="宋体" w:cs="Times New Roman"/>
                <w:b/>
                <w:snapToGrid w:val="0"/>
                <w:kern w:val="2"/>
                <w:sz w:val="21"/>
                <w:szCs w:val="24"/>
                <w:lang w:val="en-US" w:eastAsia="zh-CN" w:bidi="ar-SA"/>
              </w:rPr>
              <w:t>关联法条</w:t>
            </w:r>
          </w:p>
        </w:tc>
        <w:tc>
          <w:tcPr>
            <w:tcW w:w="11348" w:type="dxa"/>
            <w:gridSpan w:val="4"/>
            <w:tcBorders>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ascii="Times New Roman" w:hAnsi="Times New Roman" w:eastAsia="宋体" w:cs="Times New Roman"/>
                <w:snapToGrid w:val="0"/>
                <w:kern w:val="2"/>
                <w:sz w:val="21"/>
                <w:szCs w:val="24"/>
                <w:lang w:val="en-US" w:eastAsia="zh-CN" w:bidi="ar-SA"/>
              </w:rPr>
            </w:pPr>
            <w:r>
              <w:rPr>
                <w:rFonts w:hint="eastAsia"/>
                <w:sz w:val="21"/>
                <w:lang w:val="en-US" w:eastAsia="zh-CN"/>
              </w:rPr>
              <w:t xml:space="preserve">《药品网络销售监督管理办法》第三十九条 </w:t>
            </w:r>
            <w:r>
              <w:rPr>
                <w:rFonts w:hint="eastAsia"/>
                <w:sz w:val="21"/>
                <w:lang w:val="en-US"/>
              </w:rPr>
              <w:t>（详见本基准第</w:t>
            </w:r>
            <w:r>
              <w:rPr>
                <w:rFonts w:hint="eastAsia"/>
                <w:sz w:val="21"/>
                <w:lang w:val="en-US" w:eastAsia="zh-CN"/>
              </w:rPr>
              <w:t>三</w:t>
            </w:r>
            <w:r>
              <w:rPr>
                <w:rFonts w:hint="eastAsia"/>
                <w:sz w:val="21"/>
                <w:lang w:val="en-US"/>
              </w:rPr>
              <w:t>十条关联法条）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623"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607" w:type="dxa"/>
            <w:tcBorders>
              <w:top w:val="single" w:color="000000" w:sz="8" w:space="0"/>
              <w:left w:val="single" w:color="000000" w:sz="8" w:space="0"/>
              <w:bottom w:val="single" w:color="000000" w:sz="8" w:space="0"/>
              <w:right w:val="single" w:color="000000" w:sz="8" w:space="0"/>
            </w:tcBorders>
            <w:noWrap w:val="0"/>
            <w:vAlign w:val="center"/>
          </w:tcPr>
          <w:p>
            <w:pPr>
              <w:widowControl w:val="0"/>
              <w:snapToGrid w:val="0"/>
              <w:spacing w:line="400" w:lineRule="exact"/>
              <w:jc w:val="center"/>
              <w:rPr>
                <w:rFonts w:ascii="Times New Roman" w:hAnsi="Times New Roman" w:eastAsia="Microsoft JhengHei" w:cs="Times New Roman"/>
                <w:b/>
                <w:snapToGrid w:val="0"/>
                <w:kern w:val="2"/>
                <w:sz w:val="21"/>
                <w:szCs w:val="24"/>
                <w:lang w:val="en-US" w:eastAsia="zh-CN" w:bidi="ar-SA"/>
              </w:rPr>
            </w:pPr>
            <w:r>
              <w:rPr>
                <w:rFonts w:hint="eastAsia" w:ascii="Times New Roman" w:hAnsi="Times New Roman" w:eastAsia="Microsoft JhengHei" w:cs="Times New Roman"/>
                <w:b/>
                <w:snapToGrid w:val="0"/>
                <w:kern w:val="2"/>
                <w:sz w:val="21"/>
                <w:szCs w:val="24"/>
                <w:lang w:val="en-US" w:eastAsia="zh-CN" w:bidi="ar-SA"/>
              </w:rPr>
              <w:t>裁量等级</w:t>
            </w:r>
          </w:p>
        </w:tc>
        <w:tc>
          <w:tcPr>
            <w:tcW w:w="2611"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减轻处罚幅度</w:t>
            </w:r>
          </w:p>
        </w:tc>
        <w:tc>
          <w:tcPr>
            <w:tcW w:w="3075"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从轻处罚幅度</w:t>
            </w:r>
          </w:p>
        </w:tc>
        <w:tc>
          <w:tcPr>
            <w:tcW w:w="2944"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一般处罚幅度</w:t>
            </w:r>
          </w:p>
        </w:tc>
        <w:tc>
          <w:tcPr>
            <w:tcW w:w="2718"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623" w:type="dxa"/>
            <w:vMerge w:val="continue"/>
            <w:tcBorders>
              <w:right w:val="single" w:color="000000" w:sz="8" w:space="0"/>
            </w:tcBorders>
            <w:noWrap w:val="0"/>
            <w:vAlign w:val="center"/>
          </w:tcPr>
          <w:p>
            <w:pPr>
              <w:autoSpaceDE/>
              <w:autoSpaceDN/>
              <w:snapToGrid w:val="0"/>
              <w:spacing w:line="400" w:lineRule="exact"/>
              <w:jc w:val="center"/>
              <w:rPr>
                <w:rFonts w:ascii="Times New Roman" w:hAnsi="Times New Roman" w:cs="Times New Roman"/>
                <w:snapToGrid w:val="0"/>
                <w:kern w:val="2"/>
                <w:sz w:val="2"/>
                <w:szCs w:val="2"/>
                <w:lang w:val="en-US" w:bidi="ar-SA"/>
              </w:rPr>
            </w:pPr>
          </w:p>
        </w:tc>
        <w:tc>
          <w:tcPr>
            <w:tcW w:w="1607" w:type="dxa"/>
            <w:tcBorders>
              <w:top w:val="single" w:color="000000" w:sz="8" w:space="0"/>
              <w:left w:val="single" w:color="000000" w:sz="8" w:space="0"/>
              <w:bottom w:val="single" w:color="000000" w:sz="8" w:space="0"/>
              <w:right w:val="single" w:color="000000" w:sz="8" w:space="0"/>
            </w:tcBorders>
            <w:noWrap w:val="0"/>
            <w:vAlign w:val="center"/>
          </w:tcPr>
          <w:p>
            <w:pPr>
              <w:widowControl w:val="0"/>
              <w:snapToGrid w:val="0"/>
              <w:spacing w:line="400" w:lineRule="exact"/>
              <w:jc w:val="center"/>
              <w:rPr>
                <w:rFonts w:ascii="Times New Roman" w:hAnsi="Times New Roman" w:eastAsia="Microsoft JhengHei" w:cs="Times New Roman"/>
                <w:b/>
                <w:snapToGrid w:val="0"/>
                <w:color w:val="000000"/>
                <w:kern w:val="2"/>
                <w:sz w:val="21"/>
                <w:szCs w:val="24"/>
                <w:lang w:val="en-US" w:eastAsia="zh-CN" w:bidi="ar-SA"/>
              </w:rPr>
            </w:pPr>
            <w:r>
              <w:rPr>
                <w:rFonts w:hint="eastAsia" w:ascii="Times New Roman" w:hAnsi="Times New Roman" w:eastAsia="Microsoft JhengHei" w:cs="Times New Roman"/>
                <w:b/>
                <w:snapToGrid w:val="0"/>
                <w:color w:val="000000"/>
                <w:kern w:val="2"/>
                <w:sz w:val="21"/>
                <w:szCs w:val="24"/>
                <w:lang w:val="en-US" w:eastAsia="zh-CN" w:bidi="ar-SA"/>
              </w:rPr>
              <w:t>裁量基准</w:t>
            </w:r>
          </w:p>
        </w:tc>
        <w:tc>
          <w:tcPr>
            <w:tcW w:w="2611"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r>
              <w:rPr>
                <w:rFonts w:hint="eastAsia"/>
                <w:sz w:val="21"/>
                <w:lang w:val="en-US" w:eastAsia="zh-CN"/>
              </w:rPr>
              <w:t>符合裁量规则减轻行政处罚情形的，处10万元以下的罚款。</w:t>
            </w:r>
          </w:p>
        </w:tc>
        <w:tc>
          <w:tcPr>
            <w:tcW w:w="3075"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从轻行政处罚，处10万元至13万元的罚款。</w:t>
            </w:r>
          </w:p>
        </w:tc>
        <w:tc>
          <w:tcPr>
            <w:tcW w:w="2944"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r>
              <w:rPr>
                <w:rFonts w:hint="eastAsia"/>
                <w:sz w:val="21"/>
                <w:lang w:val="en-US" w:eastAsia="zh-CN"/>
              </w:rPr>
              <w:t>一般行政处罚，处13万元以上17万元以下的罚款。</w:t>
            </w:r>
          </w:p>
        </w:tc>
        <w:tc>
          <w:tcPr>
            <w:tcW w:w="2718" w:type="dxa"/>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从重行政处罚，处17万元至20万元的罚款。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0" w:hRule="atLeast"/>
        </w:trPr>
        <w:tc>
          <w:tcPr>
            <w:tcW w:w="623" w:type="dxa"/>
            <w:vMerge w:val="continue"/>
            <w:tcBorders>
              <w:right w:val="single" w:color="000000" w:sz="8" w:space="0"/>
            </w:tcBorders>
            <w:noWrap w:val="0"/>
            <w:vAlign w:val="center"/>
          </w:tcPr>
          <w:p>
            <w:pPr>
              <w:autoSpaceDE/>
              <w:autoSpaceDN/>
              <w:snapToGrid w:val="0"/>
              <w:spacing w:line="400" w:lineRule="exact"/>
              <w:jc w:val="both"/>
              <w:rPr>
                <w:rFonts w:ascii="Times New Roman" w:hAnsi="Times New Roman" w:cs="Times New Roman"/>
                <w:snapToGrid w:val="0"/>
                <w:kern w:val="2"/>
                <w:sz w:val="2"/>
                <w:szCs w:val="2"/>
                <w:lang w:val="en-US" w:bidi="ar-SA"/>
              </w:rPr>
            </w:pPr>
          </w:p>
        </w:tc>
        <w:tc>
          <w:tcPr>
            <w:tcW w:w="1607" w:type="dxa"/>
            <w:tcBorders>
              <w:top w:val="single" w:color="000000" w:sz="8" w:space="0"/>
              <w:left w:val="single" w:color="000000" w:sz="8"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80" w:lineRule="exact"/>
              <w:jc w:val="both"/>
              <w:textAlignment w:val="auto"/>
              <w:rPr>
                <w:rFonts w:hint="eastAsia" w:ascii="Times New Roman" w:hAnsi="Times New Roman" w:eastAsia="宋体" w:cs="Times New Roman"/>
                <w:snapToGrid w:val="0"/>
                <w:kern w:val="2"/>
                <w:sz w:val="21"/>
                <w:szCs w:val="24"/>
                <w:lang w:val="en-US" w:eastAsia="zh-CN" w:bidi="ar-SA"/>
              </w:rPr>
            </w:pPr>
            <w:r>
              <w:rPr>
                <w:rFonts w:hint="eastAsia" w:ascii="Times New Roman" w:hAnsi="Times New Roman" w:eastAsia="Microsoft JhengHei" w:cs="Times New Roman"/>
                <w:b/>
                <w:snapToGrid w:val="0"/>
                <w:kern w:val="2"/>
                <w:sz w:val="21"/>
                <w:szCs w:val="24"/>
                <w:lang w:val="en-US" w:eastAsia="zh-CN" w:bidi="ar-SA"/>
              </w:rPr>
              <w:t>裁量因素</w:t>
            </w:r>
            <w:r>
              <w:rPr>
                <w:rFonts w:hint="eastAsia" w:ascii="Times New Roman" w:hAnsi="Times New Roman" w:eastAsia="Microsoft JhengHei" w:cs="Times New Roman"/>
                <w:bCs/>
                <w:snapToGrid w:val="0"/>
                <w:kern w:val="2"/>
                <w:sz w:val="21"/>
                <w:szCs w:val="24"/>
                <w:lang w:val="en-US" w:eastAsia="zh-CN" w:bidi="ar-SA"/>
              </w:rPr>
              <w:t>（是指在进行裁量时，除裁量规则规定的从轻、减轻、从重情形外，可以考虑的因素）</w:t>
            </w:r>
          </w:p>
        </w:tc>
        <w:tc>
          <w:tcPr>
            <w:tcW w:w="11348" w:type="dxa"/>
            <w:gridSpan w:val="4"/>
            <w:tcBorders>
              <w:top w:val="single" w:color="000000" w:sz="8" w:space="0"/>
              <w:left w:val="single" w:color="auto" w:sz="4" w:space="0"/>
              <w:bottom w:val="single" w:color="auto" w:sz="4" w:space="0"/>
              <w:right w:val="single" w:color="000000" w:sz="8" w:space="0"/>
            </w:tcBorders>
            <w:noWrap w:val="0"/>
            <w:vAlign w:val="center"/>
          </w:tcPr>
          <w:p>
            <w:pPr>
              <w:widowControl w:val="0"/>
              <w:snapToGrid w:val="0"/>
              <w:spacing w:line="400" w:lineRule="exact"/>
              <w:jc w:val="both"/>
              <w:rPr>
                <w:rFonts w:hint="eastAsia" w:ascii="Times New Roman" w:hAnsi="Times New Roman" w:eastAsia="宋体" w:cs="Times New Roman"/>
                <w:snapToGrid w:val="0"/>
                <w:kern w:val="2"/>
                <w:sz w:val="21"/>
                <w:szCs w:val="24"/>
                <w:lang w:val="en-US" w:eastAsia="zh-CN" w:bidi="ar-SA"/>
              </w:rPr>
            </w:pPr>
          </w:p>
        </w:tc>
      </w:tr>
    </w:tbl>
    <w:p>
      <w:pPr>
        <w:pStyle w:val="11"/>
        <w:keepNext w:val="0"/>
        <w:keepLines w:val="0"/>
        <w:pageBreakBefore w:val="0"/>
        <w:widowControl w:val="0"/>
        <w:kinsoku/>
        <w:wordWrap/>
        <w:overflowPunct/>
        <w:topLinePunct w:val="0"/>
        <w:autoSpaceDE w:val="0"/>
        <w:autoSpaceDN w:val="0"/>
        <w:bidi w:val="0"/>
        <w:adjustRightInd/>
        <w:snapToGrid/>
        <w:spacing w:line="240" w:lineRule="auto"/>
        <w:ind w:right="0" w:firstLine="421" w:firstLineChars="200"/>
        <w:jc w:val="both"/>
        <w:textAlignment w:val="auto"/>
        <w:rPr>
          <w:rFonts w:hint="eastAsia" w:ascii="Microsoft JhengHei"/>
          <w:b/>
          <w:sz w:val="21"/>
          <w:lang w:val="en-US" w:eastAsia="zh-CN"/>
        </w:rPr>
        <w:sectPr>
          <w:pgSz w:w="16838" w:h="11906" w:orient="landscape"/>
          <w:pgMar w:top="1800" w:right="1440" w:bottom="1800" w:left="1440" w:header="851" w:footer="992" w:gutter="0"/>
          <w:pgNumType w:fmt="decimal"/>
          <w:cols w:space="720" w:num="1"/>
          <w:docGrid w:type="lines" w:linePitch="312" w:charSpace="0"/>
        </w:sectPr>
      </w:pPr>
    </w:p>
    <w:tbl>
      <w:tblPr>
        <w:tblStyle w:val="8"/>
        <w:tblpPr w:leftFromText="180" w:rightFromText="180" w:vertAnchor="page" w:horzAnchor="page" w:tblpX="1624" w:tblpY="2293"/>
        <w:tblOverlap w:val="never"/>
        <w:tblW w:w="496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91"/>
        <w:gridCol w:w="1652"/>
        <w:gridCol w:w="2615"/>
        <w:gridCol w:w="3060"/>
        <w:gridCol w:w="2965"/>
        <w:gridCol w:w="2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13" w:type="pct"/>
            <w:vMerge w:val="restart"/>
            <w:tcBorders>
              <w:top w:val="single" w:color="auto" w:sz="4" w:space="0"/>
              <w:bottom w:val="nil"/>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default" w:eastAsia="宋体"/>
                <w:b/>
                <w:sz w:val="21"/>
                <w:lang w:val="en-US" w:eastAsia="zh-CN"/>
              </w:rPr>
            </w:pPr>
            <w:r>
              <w:rPr>
                <w:rFonts w:hint="eastAsia"/>
                <w:b/>
                <w:sz w:val="21"/>
                <w:lang w:val="en-US" w:eastAsia="zh-CN"/>
              </w:rPr>
              <w:t>32</w:t>
            </w:r>
          </w:p>
        </w:tc>
        <w:tc>
          <w:tcPr>
            <w:tcW w:w="595" w:type="pct"/>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eastAsia="zh-CN"/>
              </w:rPr>
            </w:pPr>
            <w:r>
              <w:rPr>
                <w:rFonts w:hint="eastAsia" w:ascii="Microsoft JhengHei"/>
                <w:b/>
                <w:sz w:val="21"/>
                <w:lang w:eastAsia="zh-CN"/>
              </w:rPr>
              <w:t>裁量条款</w:t>
            </w:r>
          </w:p>
        </w:tc>
        <w:tc>
          <w:tcPr>
            <w:tcW w:w="4190" w:type="pct"/>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ascii="Microsoft JhengHei"/>
                <w:b/>
                <w:sz w:val="21"/>
                <w:lang w:val="en-US"/>
              </w:rPr>
            </w:pPr>
            <w:r>
              <w:rPr>
                <w:rFonts w:hint="eastAsia" w:ascii="Microsoft JhengHei"/>
                <w:b/>
                <w:sz w:val="21"/>
                <w:lang w:val="en-US" w:eastAsia="zh-CN"/>
              </w:rPr>
              <w:t>第三十二条  本条是对《药品经营和使用质量监督管理办法》第六十七条“处五千元以上五万元以下罚款”裁量基准的规定。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213"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95" w:type="pct"/>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val="en-US" w:eastAsia="zh-CN"/>
              </w:rPr>
            </w:pPr>
            <w:r>
              <w:rPr>
                <w:rFonts w:hint="eastAsia" w:ascii="Microsoft JhengHei"/>
                <w:b/>
                <w:sz w:val="21"/>
                <w:lang w:val="en-US" w:eastAsia="zh-CN"/>
              </w:rPr>
              <w:t>关联法条</w:t>
            </w:r>
          </w:p>
        </w:tc>
        <w:tc>
          <w:tcPr>
            <w:tcW w:w="4190" w:type="pct"/>
            <w:gridSpan w:val="4"/>
            <w:tcBorders>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eastAsia"/>
                <w:sz w:val="21"/>
              </w:rPr>
            </w:pPr>
            <w:r>
              <w:rPr>
                <w:rFonts w:hint="eastAsia"/>
                <w:sz w:val="21"/>
                <w:lang w:val="en-US" w:eastAsia="zh-CN"/>
              </w:rPr>
              <w:t xml:space="preserve">《药品经营和使用质量监督管理办法》第六十七条 </w:t>
            </w:r>
            <w:r>
              <w:rPr>
                <w:rFonts w:hint="default"/>
                <w:sz w:val="21"/>
                <w:lang w:val="en-US" w:eastAsia="zh-CN"/>
              </w:rPr>
              <w:t>药品经营企业未按规定办理药品经营许可证登记事项变更的，由药品监督管理部门责令限期改正；逾期不改正的，处五千元以上五万元以下罚款。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213"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95"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eastAsia="zh-CN"/>
              </w:rPr>
            </w:pPr>
            <w:r>
              <w:rPr>
                <w:rFonts w:hint="eastAsia" w:ascii="Microsoft JhengHei"/>
                <w:b/>
                <w:sz w:val="21"/>
                <w:lang w:eastAsia="zh-CN"/>
              </w:rPr>
              <w:t>裁量等级</w:t>
            </w:r>
          </w:p>
        </w:tc>
        <w:tc>
          <w:tcPr>
            <w:tcW w:w="942"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减轻处罚幅度</w:t>
            </w:r>
          </w:p>
        </w:tc>
        <w:tc>
          <w:tcPr>
            <w:tcW w:w="1102"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从轻处罚幅度</w:t>
            </w:r>
          </w:p>
        </w:tc>
        <w:tc>
          <w:tcPr>
            <w:tcW w:w="1068"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一般处罚幅度</w:t>
            </w:r>
          </w:p>
        </w:tc>
        <w:tc>
          <w:tcPr>
            <w:tcW w:w="1078"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13"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95"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eastAsia="zh-CN"/>
              </w:rPr>
            </w:pPr>
            <w:r>
              <w:rPr>
                <w:rFonts w:hint="eastAsia" w:ascii="Microsoft JhengHei"/>
                <w:b/>
                <w:sz w:val="21"/>
                <w:lang w:eastAsia="zh-CN"/>
              </w:rPr>
              <w:t>裁量基准</w:t>
            </w:r>
          </w:p>
        </w:tc>
        <w:tc>
          <w:tcPr>
            <w:tcW w:w="942"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p>
        </w:tc>
        <w:tc>
          <w:tcPr>
            <w:tcW w:w="1102"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从轻行政处罚，处0.5万元至1.85万元的罚款。</w:t>
            </w:r>
          </w:p>
        </w:tc>
        <w:tc>
          <w:tcPr>
            <w:tcW w:w="1068"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一般行政处罚，处1.85万元以上3.65万元以下的罚款。</w:t>
            </w:r>
          </w:p>
        </w:tc>
        <w:tc>
          <w:tcPr>
            <w:tcW w:w="1078"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从重行政处罚，处3.65万元至5万元的罚款。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8" w:hRule="atLeast"/>
        </w:trPr>
        <w:tc>
          <w:tcPr>
            <w:tcW w:w="213"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95" w:type="pct"/>
            <w:tcBorders>
              <w:top w:val="single" w:color="000000" w:sz="8" w:space="0"/>
              <w:left w:val="single" w:color="000000" w:sz="8" w:space="0"/>
              <w:bottom w:val="single" w:color="000000" w:sz="8" w:space="0"/>
              <w:right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2" w:line="240" w:lineRule="exact"/>
              <w:ind w:left="17" w:leftChars="0" w:right="11" w:rightChars="0"/>
              <w:jc w:val="both"/>
              <w:textAlignment w:val="auto"/>
              <w:rPr>
                <w:rFonts w:hint="eastAsia" w:eastAsia="宋体"/>
                <w:lang w:val="en-US" w:eastAsia="zh-CN"/>
              </w:rPr>
            </w:pPr>
            <w:r>
              <w:rPr>
                <w:rFonts w:hint="eastAsia" w:ascii="Microsoft JhengHei" w:eastAsia="Microsoft JhengHei"/>
                <w:b/>
                <w:sz w:val="21"/>
                <w:lang w:val="en-US" w:eastAsia="zh-CN"/>
              </w:rPr>
              <w:t>裁量因素</w:t>
            </w:r>
            <w:r>
              <w:rPr>
                <w:rFonts w:hint="eastAsia" w:ascii="Microsoft JhengHei" w:eastAsia="Microsoft JhengHei"/>
                <w:b w:val="0"/>
                <w:bCs/>
                <w:sz w:val="21"/>
                <w:lang w:val="en-US" w:eastAsia="zh-CN"/>
              </w:rPr>
              <w:t>（是指在进行裁量时，除裁量规则规定的从轻、减轻、从重情形外，可以考虑的因素）</w:t>
            </w:r>
          </w:p>
        </w:tc>
        <w:tc>
          <w:tcPr>
            <w:tcW w:w="4190" w:type="pct"/>
            <w:gridSpan w:val="4"/>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adjustRightInd/>
              <w:spacing w:line="240" w:lineRule="auto"/>
              <w:jc w:val="both"/>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从轻处罚考虑因素：</w:t>
            </w:r>
            <w:r>
              <w:rPr>
                <w:rFonts w:hint="eastAsia" w:ascii="宋体" w:hAnsi="宋体" w:eastAsia="宋体" w:cs="宋体"/>
                <w:b w:val="0"/>
                <w:bCs w:val="0"/>
                <w:color w:val="000000"/>
                <w:kern w:val="0"/>
                <w:sz w:val="21"/>
                <w:szCs w:val="21"/>
                <w:lang w:val="en-US" w:eastAsia="zh-CN" w:bidi="ar"/>
              </w:rPr>
              <w:t>逾期不超过十日的</w:t>
            </w:r>
            <w:r>
              <w:rPr>
                <w:rFonts w:hint="eastAsia" w:cs="宋体"/>
                <w:b w:val="0"/>
                <w:bCs w:val="0"/>
                <w:color w:val="000000"/>
                <w:kern w:val="0"/>
                <w:sz w:val="21"/>
                <w:szCs w:val="21"/>
                <w:lang w:val="en-US" w:eastAsia="zh-CN" w:bidi="ar"/>
              </w:rPr>
              <w:t>。</w:t>
            </w:r>
          </w:p>
          <w:p>
            <w:pPr>
              <w:keepNext w:val="0"/>
              <w:keepLines w:val="0"/>
              <w:pageBreakBefore w:val="0"/>
              <w:widowControl/>
              <w:suppressLineNumbers w:val="0"/>
              <w:kinsoku/>
              <w:wordWrap/>
              <w:overflowPunct/>
              <w:topLinePunct w:val="0"/>
              <w:bidi w:val="0"/>
              <w:adjustRightInd/>
              <w:spacing w:line="240" w:lineRule="auto"/>
              <w:jc w:val="both"/>
              <w:rPr>
                <w:rFonts w:hint="default"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从重处罚考虑因素：</w:t>
            </w:r>
            <w:r>
              <w:rPr>
                <w:rFonts w:hint="eastAsia" w:ascii="宋体" w:hAnsi="宋体" w:eastAsia="宋体" w:cs="宋体"/>
                <w:b w:val="0"/>
                <w:bCs w:val="0"/>
                <w:color w:val="000000"/>
                <w:kern w:val="0"/>
                <w:sz w:val="21"/>
                <w:szCs w:val="21"/>
                <w:lang w:val="en-US" w:eastAsia="zh-CN" w:bidi="ar"/>
              </w:rPr>
              <w:t>逾期超过</w:t>
            </w:r>
            <w:r>
              <w:rPr>
                <w:rFonts w:hint="eastAsia" w:cs="宋体"/>
                <w:b w:val="0"/>
                <w:bCs w:val="0"/>
                <w:color w:val="000000"/>
                <w:kern w:val="0"/>
                <w:sz w:val="21"/>
                <w:szCs w:val="21"/>
                <w:lang w:val="en-US" w:eastAsia="zh-CN" w:bidi="ar"/>
              </w:rPr>
              <w:t>三十日</w:t>
            </w:r>
            <w:r>
              <w:rPr>
                <w:rFonts w:hint="eastAsia" w:ascii="宋体" w:hAnsi="宋体" w:eastAsia="宋体" w:cs="宋体"/>
                <w:b w:val="0"/>
                <w:bCs w:val="0"/>
                <w:color w:val="000000"/>
                <w:kern w:val="0"/>
                <w:sz w:val="21"/>
                <w:szCs w:val="21"/>
                <w:lang w:val="en-US" w:eastAsia="zh-CN" w:bidi="ar"/>
              </w:rPr>
              <w:t>的</w:t>
            </w:r>
            <w:r>
              <w:rPr>
                <w:rFonts w:hint="eastAsia" w:cs="宋体"/>
                <w:b w:val="0"/>
                <w:bCs w:val="0"/>
                <w:color w:val="000000"/>
                <w:kern w:val="0"/>
                <w:sz w:val="21"/>
                <w:szCs w:val="21"/>
                <w:lang w:val="en-US" w:eastAsia="zh-CN" w:bidi="ar"/>
              </w:rPr>
              <w:t>。</w:t>
            </w:r>
          </w:p>
          <w:p>
            <w:pPr>
              <w:pStyle w:val="11"/>
              <w:keepNext w:val="0"/>
              <w:keepLines w:val="0"/>
              <w:pageBreakBefore w:val="0"/>
              <w:kinsoku/>
              <w:wordWrap/>
              <w:overflowPunct/>
              <w:topLinePunct w:val="0"/>
              <w:bidi w:val="0"/>
              <w:adjustRightInd/>
              <w:spacing w:before="2" w:line="240" w:lineRule="auto"/>
              <w:ind w:right="11"/>
              <w:jc w:val="both"/>
              <w:rPr>
                <w:rFonts w:hint="eastAsia" w:eastAsia="宋体"/>
                <w:sz w:val="21"/>
                <w:lang w:val="en-US" w:eastAsia="zh-CN"/>
              </w:rPr>
            </w:pPr>
          </w:p>
        </w:tc>
      </w:tr>
    </w:tbl>
    <w:p>
      <w:pPr>
        <w:keepNext w:val="0"/>
        <w:keepLines w:val="0"/>
        <w:pageBreakBefore w:val="0"/>
        <w:kinsoku/>
        <w:wordWrap/>
        <w:overflowPunct/>
        <w:topLinePunct w:val="0"/>
        <w:bidi w:val="0"/>
        <w:adjustRightInd/>
        <w:spacing w:line="240" w:lineRule="auto"/>
        <w:jc w:val="center"/>
        <w:rPr>
          <w:sz w:val="2"/>
          <w:szCs w:val="2"/>
        </w:rPr>
        <w:sectPr>
          <w:pgSz w:w="16838" w:h="11906" w:orient="landscape"/>
          <w:pgMar w:top="1800" w:right="1440" w:bottom="1800" w:left="1440" w:header="851" w:footer="992" w:gutter="0"/>
          <w:pgNumType w:fmt="decimal"/>
          <w:cols w:space="720" w:num="1"/>
          <w:docGrid w:type="lines" w:linePitch="312" w:charSpace="0"/>
        </w:sectPr>
      </w:pPr>
    </w:p>
    <w:tbl>
      <w:tblPr>
        <w:tblStyle w:val="8"/>
        <w:tblW w:w="5007" w:type="pct"/>
        <w:tblInd w:w="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67"/>
        <w:gridCol w:w="1634"/>
        <w:gridCol w:w="2628"/>
        <w:gridCol w:w="3095"/>
        <w:gridCol w:w="2958"/>
        <w:gridCol w:w="31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03" w:type="pct"/>
            <w:vMerge w:val="restart"/>
            <w:tcBorders>
              <w:top w:val="single" w:color="auto" w:sz="4" w:space="0"/>
              <w:bottom w:val="nil"/>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default" w:eastAsia="宋体"/>
                <w:b/>
                <w:sz w:val="21"/>
                <w:lang w:val="en-US" w:eastAsia="zh-CN"/>
              </w:rPr>
            </w:pPr>
            <w:r>
              <w:rPr>
                <w:rFonts w:hint="eastAsia"/>
                <w:b/>
                <w:sz w:val="21"/>
                <w:lang w:val="en-US" w:eastAsia="zh-CN"/>
              </w:rPr>
              <w:t>33</w:t>
            </w:r>
          </w:p>
        </w:tc>
        <w:tc>
          <w:tcPr>
            <w:tcW w:w="584" w:type="pct"/>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eastAsia="zh-CN"/>
              </w:rPr>
            </w:pPr>
            <w:r>
              <w:rPr>
                <w:rFonts w:hint="eastAsia" w:ascii="Microsoft JhengHei"/>
                <w:b/>
                <w:sz w:val="21"/>
                <w:lang w:eastAsia="zh-CN"/>
              </w:rPr>
              <w:t>裁量条款</w:t>
            </w:r>
          </w:p>
        </w:tc>
        <w:tc>
          <w:tcPr>
            <w:tcW w:w="4212" w:type="pct"/>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hint="eastAsia" w:ascii="Microsoft JhengHei"/>
                <w:b/>
                <w:sz w:val="21"/>
                <w:lang w:val="en-US" w:eastAsia="zh-CN"/>
              </w:rPr>
            </w:pPr>
            <w:r>
              <w:rPr>
                <w:rFonts w:hint="eastAsia" w:ascii="Microsoft JhengHei"/>
                <w:b/>
                <w:sz w:val="21"/>
                <w:lang w:val="en-US" w:eastAsia="zh-CN"/>
              </w:rPr>
              <w:t>第三十三条  本条是对《药品经营和使用质量监督管理办法》第六十八条第二款“处五万元以上十万元以下罚款”裁量基准的规定。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03"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84" w:type="pct"/>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val="en-US" w:eastAsia="zh-CN"/>
              </w:rPr>
            </w:pPr>
            <w:r>
              <w:rPr>
                <w:rFonts w:hint="eastAsia" w:ascii="Microsoft JhengHei"/>
                <w:b/>
                <w:sz w:val="21"/>
                <w:lang w:val="en-US" w:eastAsia="zh-CN"/>
              </w:rPr>
              <w:t>关联法条</w:t>
            </w:r>
          </w:p>
        </w:tc>
        <w:tc>
          <w:tcPr>
            <w:tcW w:w="4212" w:type="pct"/>
            <w:gridSpan w:val="4"/>
            <w:tcBorders>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default"/>
                <w:sz w:val="21"/>
                <w:lang w:val="en-US" w:eastAsia="zh-CN"/>
              </w:rPr>
            </w:pPr>
            <w:r>
              <w:rPr>
                <w:rFonts w:hint="eastAsia"/>
                <w:sz w:val="21"/>
                <w:lang w:val="en-US" w:eastAsia="zh-CN"/>
              </w:rPr>
              <w:t>《药品经营和使用质量监督管理办法》第六十八条第二款 药品零售企业违反</w:t>
            </w:r>
            <w:r>
              <w:rPr>
                <w:rFonts w:hint="default"/>
                <w:sz w:val="21"/>
                <w:lang w:val="en-US" w:eastAsia="zh-CN"/>
              </w:rPr>
              <w:t>本办法第三十六条第二款规定，法律、行政法规已有规定的，依照法律、行政法规的规定处罚。法律、行政法规未作规定的，责令限期改正，处五万元以上十万元以下罚款；造成危害后果的，处十万元以上二十万元以下罚款。</w:t>
            </w:r>
          </w:p>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eastAsia"/>
                <w:sz w:val="21"/>
                <w:lang w:val="en-US" w:eastAsia="zh-CN"/>
              </w:rPr>
            </w:pPr>
            <w:r>
              <w:rPr>
                <w:rFonts w:hint="eastAsia"/>
                <w:sz w:val="21"/>
                <w:lang w:val="en-US" w:eastAsia="zh-CN"/>
              </w:rPr>
              <w:t>《药品经营和使用质量监督管理办法》</w:t>
            </w:r>
            <w:r>
              <w:rPr>
                <w:rFonts w:hint="default"/>
                <w:sz w:val="21"/>
                <w:lang w:val="en-US" w:eastAsia="zh-CN"/>
              </w:rPr>
              <w:t>第三十六条第二款</w:t>
            </w:r>
            <w:r>
              <w:rPr>
                <w:rFonts w:hint="eastAsia"/>
                <w:sz w:val="21"/>
                <w:lang w:val="en-US" w:eastAsia="zh-CN"/>
              </w:rPr>
              <w:t xml:space="preserve"> 药品零售企业不得销售麻醉药品、第一类精神药品、放射性药品、药品类易制毒化学品、蛋白同化制剂、肽类激素（胰岛素除外）、终止妊娠药品等国家禁止零售的药品。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03"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84"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eastAsia="zh-CN"/>
              </w:rPr>
            </w:pPr>
            <w:r>
              <w:rPr>
                <w:rFonts w:hint="eastAsia" w:ascii="Microsoft JhengHei"/>
                <w:b/>
                <w:sz w:val="21"/>
                <w:lang w:eastAsia="zh-CN"/>
              </w:rPr>
              <w:t>裁量等级</w:t>
            </w:r>
          </w:p>
        </w:tc>
        <w:tc>
          <w:tcPr>
            <w:tcW w:w="939"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减轻处罚幅度</w:t>
            </w:r>
          </w:p>
        </w:tc>
        <w:tc>
          <w:tcPr>
            <w:tcW w:w="1106"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从轻处罚幅度</w:t>
            </w:r>
          </w:p>
        </w:tc>
        <w:tc>
          <w:tcPr>
            <w:tcW w:w="1057"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一般处罚幅度</w:t>
            </w:r>
          </w:p>
        </w:tc>
        <w:tc>
          <w:tcPr>
            <w:tcW w:w="1109"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03"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84"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eastAsia="zh-CN"/>
              </w:rPr>
            </w:pPr>
            <w:r>
              <w:rPr>
                <w:rFonts w:hint="eastAsia" w:ascii="Microsoft JhengHei"/>
                <w:b/>
                <w:sz w:val="21"/>
                <w:lang w:eastAsia="zh-CN"/>
              </w:rPr>
              <w:t>裁量基准</w:t>
            </w:r>
          </w:p>
        </w:tc>
        <w:tc>
          <w:tcPr>
            <w:tcW w:w="939"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符合裁量规则减轻行政处罚情形的，处5万元以下的罚款。</w:t>
            </w:r>
          </w:p>
        </w:tc>
        <w:tc>
          <w:tcPr>
            <w:tcW w:w="1106"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从轻行政处罚，处5万元至6.5万元的罚款。</w:t>
            </w:r>
          </w:p>
        </w:tc>
        <w:tc>
          <w:tcPr>
            <w:tcW w:w="1057"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一般行政处罚，处6.5万元以上8.5万元以下的罚款。</w:t>
            </w:r>
          </w:p>
        </w:tc>
        <w:tc>
          <w:tcPr>
            <w:tcW w:w="1109"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从重行政处罚，处8.5万元至10万元的罚款。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03"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84" w:type="pct"/>
            <w:tcBorders>
              <w:top w:val="single" w:color="000000" w:sz="8" w:space="0"/>
              <w:left w:val="single" w:color="000000" w:sz="8" w:space="0"/>
              <w:right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2" w:line="240" w:lineRule="exact"/>
              <w:ind w:left="17" w:leftChars="0" w:right="11" w:rightChars="0"/>
              <w:jc w:val="both"/>
              <w:textAlignment w:val="auto"/>
              <w:rPr>
                <w:rFonts w:hint="eastAsia" w:eastAsia="宋体"/>
                <w:lang w:val="en-US" w:eastAsia="zh-CN"/>
              </w:rPr>
            </w:pPr>
            <w:r>
              <w:rPr>
                <w:rFonts w:hint="eastAsia" w:ascii="Microsoft JhengHei" w:eastAsia="Microsoft JhengHei"/>
                <w:b/>
                <w:sz w:val="21"/>
                <w:lang w:val="en-US" w:eastAsia="zh-CN"/>
              </w:rPr>
              <w:t>裁量因素</w:t>
            </w:r>
            <w:r>
              <w:rPr>
                <w:rFonts w:hint="eastAsia" w:ascii="Microsoft JhengHei" w:eastAsia="Microsoft JhengHei"/>
                <w:b w:val="0"/>
                <w:bCs/>
                <w:sz w:val="21"/>
                <w:lang w:val="en-US" w:eastAsia="zh-CN"/>
              </w:rPr>
              <w:t>（是指在进行裁量时，除裁量规则规定的从轻、减轻、从重情形外，可以考虑的因素）</w:t>
            </w:r>
          </w:p>
        </w:tc>
        <w:tc>
          <w:tcPr>
            <w:tcW w:w="4212" w:type="pct"/>
            <w:gridSpan w:val="4"/>
            <w:tcBorders>
              <w:top w:val="single" w:color="000000" w:sz="8" w:space="0"/>
              <w:left w:val="single" w:color="auto" w:sz="4" w:space="0"/>
              <w:bottom w:val="single" w:color="auto" w:sz="4" w:space="0"/>
              <w:right w:val="single" w:color="000000" w:sz="8" w:space="0"/>
            </w:tcBorders>
            <w:noWrap w:val="0"/>
            <w:vAlign w:val="top"/>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从重处罚考虑因素：</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w:t>
            </w:r>
            <w:r>
              <w:rPr>
                <w:rFonts w:hint="eastAsia" w:cs="宋体"/>
                <w:kern w:val="0"/>
                <w:sz w:val="21"/>
                <w:szCs w:val="21"/>
                <w:lang w:val="en-US" w:eastAsia="zh-CN" w:bidi="zh-CN"/>
              </w:rPr>
              <w:t>一</w:t>
            </w:r>
            <w:r>
              <w:rPr>
                <w:rFonts w:hint="eastAsia" w:ascii="宋体" w:hAnsi="宋体" w:eastAsia="宋体" w:cs="宋体"/>
                <w:kern w:val="0"/>
                <w:sz w:val="21"/>
                <w:szCs w:val="21"/>
                <w:lang w:val="en-US" w:eastAsia="zh-CN" w:bidi="zh-CN"/>
              </w:rPr>
              <w:t>）药品有效成份含量不符合规定，足以影响疗效的，或者药品检验无菌、热原（如细菌内毒素）、微生物限度、降压物质不符合规定的</w:t>
            </w:r>
            <w:r>
              <w:rPr>
                <w:rFonts w:hint="eastAsia" w:cs="宋体"/>
                <w:kern w:val="0"/>
                <w:sz w:val="21"/>
                <w:szCs w:val="21"/>
                <w:lang w:val="en-US" w:eastAsia="zh-CN" w:bidi="zh-CN"/>
              </w:rPr>
              <w:t>；</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240" w:lineRule="auto"/>
              <w:jc w:val="left"/>
              <w:textAlignment w:val="auto"/>
              <w:rPr>
                <w:rFonts w:hint="eastAsia" w:eastAsia="宋体"/>
                <w:sz w:val="21"/>
                <w:lang w:val="en-US" w:eastAsia="zh-CN"/>
              </w:rPr>
            </w:pPr>
            <w:r>
              <w:rPr>
                <w:rFonts w:hint="eastAsia" w:ascii="宋体" w:hAnsi="宋体" w:eastAsia="宋体" w:cs="宋体"/>
                <w:kern w:val="0"/>
                <w:sz w:val="21"/>
                <w:szCs w:val="21"/>
                <w:lang w:val="en-US" w:eastAsia="zh-CN" w:bidi="zh-CN"/>
              </w:rPr>
              <w:t>（</w:t>
            </w:r>
            <w:r>
              <w:rPr>
                <w:rFonts w:hint="eastAsia" w:cs="宋体"/>
                <w:kern w:val="0"/>
                <w:sz w:val="21"/>
                <w:szCs w:val="21"/>
                <w:lang w:val="en-US" w:eastAsia="zh-CN" w:bidi="zh-CN"/>
              </w:rPr>
              <w:t>二</w:t>
            </w:r>
            <w:r>
              <w:rPr>
                <w:rFonts w:hint="eastAsia" w:ascii="宋体" w:hAnsi="宋体" w:eastAsia="宋体" w:cs="宋体"/>
                <w:kern w:val="0"/>
                <w:sz w:val="21"/>
                <w:szCs w:val="21"/>
                <w:lang w:val="en-US" w:eastAsia="zh-CN" w:bidi="zh-CN"/>
              </w:rPr>
              <w:t>）涉案产品主要使用对象为孕产妇、儿童或者其他特定人群的。</w:t>
            </w:r>
          </w:p>
        </w:tc>
      </w:tr>
    </w:tbl>
    <w:p>
      <w:pPr>
        <w:pStyle w:val="11"/>
        <w:keepNext w:val="0"/>
        <w:keepLines w:val="0"/>
        <w:pageBreakBefore w:val="0"/>
        <w:widowControl w:val="0"/>
        <w:kinsoku/>
        <w:wordWrap/>
        <w:overflowPunct/>
        <w:topLinePunct w:val="0"/>
        <w:autoSpaceDE w:val="0"/>
        <w:autoSpaceDN w:val="0"/>
        <w:bidi w:val="0"/>
        <w:adjustRightInd/>
        <w:snapToGrid/>
        <w:spacing w:line="240" w:lineRule="auto"/>
        <w:ind w:right="0" w:firstLine="421" w:firstLineChars="200"/>
        <w:jc w:val="both"/>
        <w:textAlignment w:val="auto"/>
        <w:rPr>
          <w:rFonts w:hint="eastAsia" w:ascii="Microsoft JhengHei"/>
          <w:b/>
          <w:sz w:val="21"/>
          <w:lang w:val="en-US" w:eastAsia="zh-CN"/>
        </w:rPr>
        <w:sectPr>
          <w:pgSz w:w="16838" w:h="11906" w:orient="landscape"/>
          <w:pgMar w:top="1800" w:right="1440" w:bottom="1800" w:left="1440" w:header="851" w:footer="992" w:gutter="0"/>
          <w:pgNumType w:fmt="decimal"/>
          <w:cols w:space="720" w:num="1"/>
          <w:docGrid w:type="lines" w:linePitch="312" w:charSpace="0"/>
        </w:sectPr>
      </w:pPr>
    </w:p>
    <w:tbl>
      <w:tblPr>
        <w:tblStyle w:val="8"/>
        <w:tblW w:w="5016" w:type="pct"/>
        <w:tblInd w:w="1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58"/>
        <w:gridCol w:w="1612"/>
        <w:gridCol w:w="2688"/>
        <w:gridCol w:w="3095"/>
        <w:gridCol w:w="2960"/>
        <w:gridCol w:w="3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9" w:type="pct"/>
            <w:vMerge w:val="restart"/>
            <w:tcBorders>
              <w:top w:val="single" w:color="auto" w:sz="4" w:space="0"/>
              <w:bottom w:val="nil"/>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ind w:left="14"/>
              <w:jc w:val="center"/>
              <w:rPr>
                <w:rFonts w:hint="default" w:eastAsia="宋体"/>
                <w:b/>
                <w:sz w:val="21"/>
                <w:lang w:val="en-US" w:eastAsia="zh-CN"/>
              </w:rPr>
            </w:pPr>
            <w:r>
              <w:rPr>
                <w:rFonts w:hint="eastAsia"/>
                <w:b/>
                <w:sz w:val="21"/>
                <w:lang w:val="en-US" w:eastAsia="zh-CN"/>
              </w:rPr>
              <w:t>34</w:t>
            </w:r>
          </w:p>
        </w:tc>
        <w:tc>
          <w:tcPr>
            <w:tcW w:w="575" w:type="pct"/>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eastAsia="zh-CN"/>
              </w:rPr>
            </w:pPr>
            <w:r>
              <w:rPr>
                <w:rFonts w:hint="eastAsia" w:ascii="Microsoft JhengHei"/>
                <w:b/>
                <w:sz w:val="21"/>
                <w:lang w:eastAsia="zh-CN"/>
              </w:rPr>
              <w:t>裁量条款</w:t>
            </w:r>
          </w:p>
        </w:tc>
        <w:tc>
          <w:tcPr>
            <w:tcW w:w="4225" w:type="pct"/>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hint="eastAsia" w:ascii="Microsoft JhengHei"/>
                <w:b/>
                <w:sz w:val="21"/>
                <w:lang w:val="en-US" w:eastAsia="zh-CN"/>
              </w:rPr>
            </w:pPr>
            <w:r>
              <w:rPr>
                <w:rFonts w:hint="eastAsia" w:ascii="Microsoft JhengHei"/>
                <w:b/>
                <w:sz w:val="21"/>
                <w:lang w:val="en-US" w:eastAsia="zh-CN"/>
              </w:rPr>
              <w:t>第三十四条  本条是对《药品经营和使用质量监督管理办法》第六十八条第二款“处十万元以上二十万元以下罚款”裁量基准的规定。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99"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5" w:type="pct"/>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val="en-US" w:eastAsia="zh-CN"/>
              </w:rPr>
            </w:pPr>
            <w:r>
              <w:rPr>
                <w:rFonts w:hint="eastAsia" w:ascii="Microsoft JhengHei"/>
                <w:b/>
                <w:sz w:val="21"/>
                <w:lang w:val="en-US" w:eastAsia="zh-CN"/>
              </w:rPr>
              <w:t>关联法条</w:t>
            </w:r>
          </w:p>
        </w:tc>
        <w:tc>
          <w:tcPr>
            <w:tcW w:w="4225" w:type="pct"/>
            <w:gridSpan w:val="4"/>
            <w:tcBorders>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center"/>
              <w:textAlignment w:val="auto"/>
              <w:rPr>
                <w:rFonts w:hint="eastAsia"/>
                <w:sz w:val="21"/>
              </w:rPr>
            </w:pPr>
            <w:r>
              <w:rPr>
                <w:rFonts w:hint="eastAsia"/>
                <w:sz w:val="21"/>
                <w:lang w:val="en-US" w:eastAsia="zh-CN"/>
              </w:rPr>
              <w:t xml:space="preserve">《药品经营和使用质量监督管理办法》第六十八条第二款 </w:t>
            </w:r>
            <w:r>
              <w:rPr>
                <w:rFonts w:hint="eastAsia"/>
                <w:sz w:val="21"/>
                <w:lang w:val="en-US"/>
              </w:rPr>
              <w:t>（详见本基准第</w:t>
            </w:r>
            <w:r>
              <w:rPr>
                <w:rFonts w:hint="eastAsia"/>
                <w:sz w:val="21"/>
                <w:lang w:val="en-US" w:eastAsia="zh-CN"/>
              </w:rPr>
              <w:t>三</w:t>
            </w:r>
            <w:r>
              <w:rPr>
                <w:rFonts w:hint="eastAsia"/>
                <w:sz w:val="21"/>
                <w:lang w:val="en-US"/>
              </w:rPr>
              <w:t>十</w:t>
            </w:r>
            <w:r>
              <w:rPr>
                <w:rFonts w:hint="eastAsia"/>
                <w:sz w:val="21"/>
                <w:lang w:val="en-US" w:eastAsia="zh-CN"/>
              </w:rPr>
              <w:t>三</w:t>
            </w:r>
            <w:r>
              <w:rPr>
                <w:rFonts w:hint="eastAsia"/>
                <w:sz w:val="21"/>
                <w:lang w:val="en-US"/>
              </w:rPr>
              <w:t>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99"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5"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eastAsia="zh-CN"/>
              </w:rPr>
            </w:pPr>
            <w:r>
              <w:rPr>
                <w:rFonts w:hint="eastAsia" w:ascii="Microsoft JhengHei"/>
                <w:b/>
                <w:sz w:val="21"/>
                <w:lang w:eastAsia="zh-CN"/>
              </w:rPr>
              <w:t>裁量等级</w:t>
            </w:r>
          </w:p>
        </w:tc>
        <w:tc>
          <w:tcPr>
            <w:tcW w:w="959"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减轻处罚幅度</w:t>
            </w:r>
          </w:p>
        </w:tc>
        <w:tc>
          <w:tcPr>
            <w:tcW w:w="1104"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从轻处罚幅度</w:t>
            </w:r>
          </w:p>
        </w:tc>
        <w:tc>
          <w:tcPr>
            <w:tcW w:w="1056"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一般处罚幅度</w:t>
            </w:r>
          </w:p>
        </w:tc>
        <w:tc>
          <w:tcPr>
            <w:tcW w:w="1105"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199"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5"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eastAsia="zh-CN"/>
              </w:rPr>
            </w:pPr>
            <w:r>
              <w:rPr>
                <w:rFonts w:hint="eastAsia" w:ascii="Microsoft JhengHei"/>
                <w:b/>
                <w:sz w:val="21"/>
                <w:lang w:eastAsia="zh-CN"/>
              </w:rPr>
              <w:t>裁量基准</w:t>
            </w:r>
          </w:p>
        </w:tc>
        <w:tc>
          <w:tcPr>
            <w:tcW w:w="959"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符合裁量规则减轻行政处罚情形的，处10万元以下的罚款。</w:t>
            </w:r>
          </w:p>
        </w:tc>
        <w:tc>
          <w:tcPr>
            <w:tcW w:w="1104"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从轻行政处罚，处10万元至13万元的罚款。</w:t>
            </w:r>
          </w:p>
        </w:tc>
        <w:tc>
          <w:tcPr>
            <w:tcW w:w="1056"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一般行政处罚，处13万元以上17万元以下的罚款。</w:t>
            </w:r>
          </w:p>
        </w:tc>
        <w:tc>
          <w:tcPr>
            <w:tcW w:w="1105"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从重行政处罚，处17万元至20万元的罚款。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8" w:hRule="atLeast"/>
        </w:trPr>
        <w:tc>
          <w:tcPr>
            <w:tcW w:w="199"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5" w:type="pct"/>
            <w:tcBorders>
              <w:top w:val="single" w:color="000000" w:sz="8" w:space="0"/>
              <w:left w:val="single" w:color="000000" w:sz="8" w:space="0"/>
              <w:bottom w:val="single" w:color="000000" w:sz="8" w:space="0"/>
              <w:right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2" w:line="240" w:lineRule="exact"/>
              <w:ind w:left="17" w:leftChars="0" w:right="11" w:rightChars="0"/>
              <w:jc w:val="both"/>
              <w:textAlignment w:val="auto"/>
              <w:rPr>
                <w:rFonts w:hint="eastAsia" w:eastAsia="宋体"/>
                <w:lang w:val="en-US" w:eastAsia="zh-CN"/>
              </w:rPr>
            </w:pPr>
            <w:r>
              <w:rPr>
                <w:rFonts w:hint="eastAsia" w:ascii="Microsoft JhengHei" w:eastAsia="Microsoft JhengHei"/>
                <w:b/>
                <w:sz w:val="21"/>
                <w:lang w:val="en-US" w:eastAsia="zh-CN"/>
              </w:rPr>
              <w:t>裁量因素</w:t>
            </w:r>
            <w:r>
              <w:rPr>
                <w:rFonts w:hint="eastAsia" w:ascii="Microsoft JhengHei" w:eastAsia="Microsoft JhengHei"/>
                <w:b w:val="0"/>
                <w:bCs/>
                <w:sz w:val="21"/>
                <w:lang w:val="en-US" w:eastAsia="zh-CN"/>
              </w:rPr>
              <w:t>（是指在进行裁量时，除裁量规则规定的从轻、减轻、从重情形外，可以考虑的因素）</w:t>
            </w:r>
          </w:p>
        </w:tc>
        <w:tc>
          <w:tcPr>
            <w:tcW w:w="4225" w:type="pct"/>
            <w:gridSpan w:val="4"/>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numPr>
                <w:ilvl w:val="0"/>
                <w:numId w:val="0"/>
              </w:numPr>
              <w:suppressLineNumbers w:val="0"/>
              <w:kinsoku/>
              <w:wordWrap/>
              <w:overflowPunct/>
              <w:topLinePunct w:val="0"/>
              <w:bidi w:val="0"/>
              <w:adjustRightInd/>
              <w:spacing w:line="240" w:lineRule="auto"/>
              <w:jc w:val="both"/>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从</w:t>
            </w:r>
            <w:r>
              <w:rPr>
                <w:rFonts w:hint="eastAsia" w:cs="宋体"/>
                <w:b/>
                <w:bCs/>
                <w:color w:val="000000"/>
                <w:kern w:val="0"/>
                <w:sz w:val="21"/>
                <w:szCs w:val="21"/>
                <w:lang w:val="en-US" w:eastAsia="zh-CN" w:bidi="ar"/>
              </w:rPr>
              <w:t>轻</w:t>
            </w:r>
            <w:r>
              <w:rPr>
                <w:rFonts w:hint="eastAsia" w:ascii="宋体" w:hAnsi="宋体" w:eastAsia="宋体" w:cs="宋体"/>
                <w:b/>
                <w:bCs/>
                <w:color w:val="000000"/>
                <w:kern w:val="0"/>
                <w:sz w:val="21"/>
                <w:szCs w:val="21"/>
                <w:lang w:val="en-US" w:eastAsia="zh-CN" w:bidi="ar"/>
              </w:rPr>
              <w:t>处罚考虑因素：</w:t>
            </w:r>
          </w:p>
          <w:p>
            <w:pPr>
              <w:keepNext w:val="0"/>
              <w:keepLines w:val="0"/>
              <w:pageBreakBefore w:val="0"/>
              <w:widowControl/>
              <w:numPr>
                <w:ilvl w:val="0"/>
                <w:numId w:val="0"/>
              </w:numPr>
              <w:suppressLineNumbers w:val="0"/>
              <w:kinsoku/>
              <w:wordWrap/>
              <w:overflowPunct/>
              <w:topLinePunct w:val="0"/>
              <w:bidi w:val="0"/>
              <w:adjustRightInd/>
              <w:spacing w:line="240" w:lineRule="auto"/>
              <w:jc w:val="both"/>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（一）危害程度较轻</w:t>
            </w:r>
            <w:r>
              <w:rPr>
                <w:rFonts w:hint="eastAsia" w:cs="宋体"/>
                <w:kern w:val="0"/>
                <w:sz w:val="21"/>
                <w:szCs w:val="21"/>
                <w:lang w:val="en-US" w:eastAsia="zh-CN" w:bidi="zh-CN"/>
              </w:rPr>
              <w:t>；</w:t>
            </w:r>
          </w:p>
          <w:p>
            <w:pPr>
              <w:keepNext w:val="0"/>
              <w:keepLines w:val="0"/>
              <w:pageBreakBefore w:val="0"/>
              <w:widowControl/>
              <w:numPr>
                <w:ilvl w:val="0"/>
                <w:numId w:val="0"/>
              </w:numPr>
              <w:suppressLineNumbers w:val="0"/>
              <w:kinsoku/>
              <w:wordWrap/>
              <w:overflowPunct/>
              <w:topLinePunct w:val="0"/>
              <w:bidi w:val="0"/>
              <w:adjustRightInd/>
              <w:spacing w:line="240" w:lineRule="auto"/>
              <w:jc w:val="both"/>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（二）</w:t>
            </w:r>
            <w:r>
              <w:rPr>
                <w:rFonts w:hint="default" w:ascii="宋体" w:hAnsi="宋体" w:eastAsia="宋体" w:cs="宋体"/>
                <w:kern w:val="0"/>
                <w:sz w:val="21"/>
                <w:szCs w:val="21"/>
                <w:lang w:val="en-US" w:eastAsia="zh-CN" w:bidi="zh-CN"/>
              </w:rPr>
              <w:t>危害范围较小</w:t>
            </w:r>
            <w:r>
              <w:rPr>
                <w:rFonts w:hint="eastAsia" w:cs="宋体"/>
                <w:kern w:val="0"/>
                <w:sz w:val="21"/>
                <w:szCs w:val="21"/>
                <w:lang w:val="en-US" w:eastAsia="zh-CN" w:bidi="zh-CN"/>
              </w:rPr>
              <w:t>；</w:t>
            </w:r>
          </w:p>
          <w:p>
            <w:pPr>
              <w:keepNext w:val="0"/>
              <w:keepLines w:val="0"/>
              <w:pageBreakBefore w:val="0"/>
              <w:widowControl/>
              <w:numPr>
                <w:ilvl w:val="0"/>
                <w:numId w:val="0"/>
              </w:numPr>
              <w:suppressLineNumbers w:val="0"/>
              <w:kinsoku/>
              <w:wordWrap/>
              <w:overflowPunct/>
              <w:topLinePunct w:val="0"/>
              <w:bidi w:val="0"/>
              <w:adjustRightInd/>
              <w:spacing w:line="240" w:lineRule="auto"/>
              <w:jc w:val="both"/>
              <w:rPr>
                <w:rFonts w:hint="eastAsia" w:ascii="宋体" w:hAnsi="宋体" w:eastAsia="宋体" w:cs="宋体"/>
                <w:kern w:val="0"/>
                <w:sz w:val="21"/>
                <w:szCs w:val="21"/>
                <w:lang w:val="en-US" w:eastAsia="zh-CN" w:bidi="zh-CN"/>
              </w:rPr>
            </w:pPr>
            <w:r>
              <w:rPr>
                <w:rFonts w:hint="default" w:ascii="宋体" w:hAnsi="宋体" w:eastAsia="宋体" w:cs="宋体"/>
                <w:kern w:val="0"/>
                <w:sz w:val="21"/>
                <w:szCs w:val="21"/>
                <w:lang w:val="en-US" w:eastAsia="zh-CN" w:bidi="zh-CN"/>
              </w:rPr>
              <w:t>（三）危害后果易于消除或者减轻</w:t>
            </w:r>
            <w:r>
              <w:rPr>
                <w:rFonts w:hint="eastAsia" w:cs="宋体"/>
                <w:kern w:val="0"/>
                <w:sz w:val="21"/>
                <w:szCs w:val="21"/>
                <w:lang w:val="en-US" w:eastAsia="zh-CN" w:bidi="zh-CN"/>
              </w:rPr>
              <w:t>；</w:t>
            </w:r>
          </w:p>
          <w:p>
            <w:pPr>
              <w:keepNext w:val="0"/>
              <w:keepLines w:val="0"/>
              <w:pageBreakBefore w:val="0"/>
              <w:widowControl/>
              <w:numPr>
                <w:ilvl w:val="0"/>
                <w:numId w:val="0"/>
              </w:numPr>
              <w:suppressLineNumbers w:val="0"/>
              <w:kinsoku/>
              <w:wordWrap/>
              <w:overflowPunct/>
              <w:topLinePunct w:val="0"/>
              <w:bidi w:val="0"/>
              <w:adjustRightInd/>
              <w:spacing w:line="240" w:lineRule="auto"/>
              <w:jc w:val="both"/>
              <w:rPr>
                <w:rFonts w:hint="eastAsia" w:ascii="宋体" w:hAnsi="宋体" w:eastAsia="宋体" w:cs="宋体"/>
                <w:b/>
                <w:bCs/>
                <w:color w:val="000000"/>
                <w:kern w:val="0"/>
                <w:sz w:val="21"/>
                <w:szCs w:val="21"/>
                <w:lang w:val="en-US" w:eastAsia="zh-CN" w:bidi="ar"/>
              </w:rPr>
            </w:pPr>
            <w:r>
              <w:rPr>
                <w:rFonts w:hint="default" w:ascii="宋体" w:hAnsi="宋体" w:eastAsia="宋体" w:cs="宋体"/>
                <w:kern w:val="0"/>
                <w:sz w:val="21"/>
                <w:szCs w:val="21"/>
                <w:lang w:val="en-US" w:eastAsia="zh-CN" w:bidi="zh-CN"/>
              </w:rPr>
              <w:t>（四）其他能够反映危害后果轻微的因素。</w:t>
            </w:r>
          </w:p>
          <w:p>
            <w:pPr>
              <w:keepNext w:val="0"/>
              <w:keepLines w:val="0"/>
              <w:pageBreakBefore w:val="0"/>
              <w:widowControl/>
              <w:numPr>
                <w:ilvl w:val="0"/>
                <w:numId w:val="0"/>
              </w:numPr>
              <w:suppressLineNumbers w:val="0"/>
              <w:kinsoku/>
              <w:wordWrap/>
              <w:overflowPunct/>
              <w:topLinePunct w:val="0"/>
              <w:bidi w:val="0"/>
              <w:adjustRightInd/>
              <w:spacing w:line="240" w:lineRule="auto"/>
              <w:jc w:val="both"/>
              <w:rPr>
                <w:rFonts w:hint="eastAsia" w:eastAsia="宋体"/>
                <w:sz w:val="21"/>
                <w:lang w:val="en-US" w:eastAsia="zh-CN"/>
              </w:rPr>
            </w:pPr>
            <w:r>
              <w:rPr>
                <w:rFonts w:hint="eastAsia" w:ascii="宋体" w:hAnsi="宋体" w:eastAsia="宋体" w:cs="宋体"/>
                <w:b/>
                <w:bCs/>
                <w:color w:val="000000"/>
                <w:kern w:val="0"/>
                <w:sz w:val="21"/>
                <w:szCs w:val="21"/>
                <w:lang w:val="en-US" w:eastAsia="zh-CN" w:bidi="ar"/>
              </w:rPr>
              <w:t>从</w:t>
            </w:r>
            <w:r>
              <w:rPr>
                <w:rFonts w:hint="eastAsia" w:cs="宋体"/>
                <w:b/>
                <w:bCs/>
                <w:color w:val="000000"/>
                <w:kern w:val="0"/>
                <w:sz w:val="21"/>
                <w:szCs w:val="21"/>
                <w:lang w:val="en-US" w:eastAsia="zh-CN" w:bidi="ar"/>
              </w:rPr>
              <w:t>重</w:t>
            </w:r>
            <w:r>
              <w:rPr>
                <w:rFonts w:hint="eastAsia" w:ascii="宋体" w:hAnsi="宋体" w:eastAsia="宋体" w:cs="宋体"/>
                <w:b/>
                <w:bCs/>
                <w:color w:val="000000"/>
                <w:kern w:val="0"/>
                <w:sz w:val="21"/>
                <w:szCs w:val="21"/>
                <w:lang w:val="en-US" w:eastAsia="zh-CN" w:bidi="ar"/>
              </w:rPr>
              <w:t>处罚考虑因素：</w:t>
            </w:r>
            <w:r>
              <w:rPr>
                <w:rFonts w:hint="eastAsia" w:ascii="宋体" w:hAnsi="宋体" w:eastAsia="宋体" w:cs="宋体"/>
                <w:kern w:val="0"/>
                <w:sz w:val="21"/>
                <w:szCs w:val="21"/>
                <w:lang w:val="en-US" w:eastAsia="zh-CN" w:bidi="zh-CN"/>
              </w:rPr>
              <w:t>造成人身伤害、重大财产损失或者恶劣社会影响等严重后果的</w:t>
            </w:r>
            <w:r>
              <w:rPr>
                <w:rFonts w:hint="eastAsia" w:cs="宋体"/>
                <w:kern w:val="0"/>
                <w:sz w:val="21"/>
                <w:szCs w:val="21"/>
                <w:lang w:val="en-US" w:eastAsia="zh-CN" w:bidi="zh-CN"/>
              </w:rPr>
              <w:t>。</w:t>
            </w:r>
          </w:p>
        </w:tc>
      </w:tr>
    </w:tbl>
    <w:p>
      <w:pPr>
        <w:pStyle w:val="11"/>
        <w:keepNext w:val="0"/>
        <w:keepLines w:val="0"/>
        <w:pageBreakBefore w:val="0"/>
        <w:widowControl w:val="0"/>
        <w:kinsoku/>
        <w:wordWrap/>
        <w:overflowPunct/>
        <w:topLinePunct w:val="0"/>
        <w:autoSpaceDE w:val="0"/>
        <w:autoSpaceDN w:val="0"/>
        <w:bidi w:val="0"/>
        <w:adjustRightInd/>
        <w:snapToGrid/>
        <w:spacing w:line="240" w:lineRule="auto"/>
        <w:ind w:right="0" w:firstLine="421" w:firstLineChars="200"/>
        <w:jc w:val="both"/>
        <w:textAlignment w:val="auto"/>
        <w:rPr>
          <w:rFonts w:hint="eastAsia" w:ascii="Microsoft JhengHei"/>
          <w:b/>
          <w:sz w:val="21"/>
          <w:lang w:val="en-US" w:eastAsia="zh-CN"/>
        </w:rPr>
        <w:sectPr>
          <w:pgSz w:w="16838" w:h="11906" w:orient="landscape"/>
          <w:pgMar w:top="1800" w:right="1440" w:bottom="1800" w:left="1440" w:header="851" w:footer="992" w:gutter="0"/>
          <w:pgNumType w:fmt="decimal"/>
          <w:cols w:space="720" w:num="1"/>
          <w:docGrid w:type="lines" w:linePitch="312" w:charSpace="0"/>
        </w:sectPr>
      </w:pPr>
    </w:p>
    <w:tbl>
      <w:tblPr>
        <w:tblStyle w:val="8"/>
        <w:tblW w:w="5020" w:type="pct"/>
        <w:tblInd w:w="1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41"/>
        <w:gridCol w:w="1610"/>
        <w:gridCol w:w="2707"/>
        <w:gridCol w:w="3097"/>
        <w:gridCol w:w="2963"/>
        <w:gridCol w:w="31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 w:hRule="atLeast"/>
        </w:trPr>
        <w:tc>
          <w:tcPr>
            <w:tcW w:w="193" w:type="pct"/>
            <w:vMerge w:val="restart"/>
            <w:tcBorders>
              <w:top w:val="single" w:color="auto" w:sz="4"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ind w:left="14"/>
              <w:jc w:val="center"/>
              <w:rPr>
                <w:rFonts w:hint="default" w:eastAsia="宋体"/>
                <w:b/>
                <w:sz w:val="21"/>
                <w:lang w:val="en-US" w:eastAsia="zh-CN"/>
              </w:rPr>
            </w:pPr>
            <w:r>
              <w:rPr>
                <w:rFonts w:hint="eastAsia"/>
                <w:b/>
                <w:sz w:val="21"/>
                <w:lang w:val="en-US" w:eastAsia="zh-CN"/>
              </w:rPr>
              <w:t>35</w:t>
            </w:r>
          </w:p>
        </w:tc>
        <w:tc>
          <w:tcPr>
            <w:tcW w:w="574" w:type="pct"/>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val="en-US" w:eastAsia="zh-CN"/>
              </w:rPr>
            </w:pPr>
            <w:r>
              <w:rPr>
                <w:rFonts w:hint="eastAsia" w:ascii="Microsoft JhengHei"/>
                <w:b/>
                <w:sz w:val="21"/>
                <w:lang w:val="en-US" w:eastAsia="zh-CN"/>
              </w:rPr>
              <w:t>裁量条款</w:t>
            </w:r>
          </w:p>
        </w:tc>
        <w:tc>
          <w:tcPr>
            <w:tcW w:w="4232" w:type="pct"/>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hint="eastAsia" w:ascii="Microsoft JhengHei"/>
                <w:b/>
                <w:sz w:val="21"/>
                <w:lang w:val="en-US" w:eastAsia="zh-CN"/>
              </w:rPr>
            </w:pPr>
            <w:r>
              <w:rPr>
                <w:rFonts w:hint="eastAsia" w:ascii="Microsoft JhengHei"/>
                <w:b/>
                <w:sz w:val="21"/>
                <w:lang w:val="en-US" w:eastAsia="zh-CN"/>
              </w:rPr>
              <w:t>第三十五条  本条是对《药品经营和使用质量监督管理办法》第七十条“处五千元以上三万元以下罚款”裁量基准的规定。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8" w:hRule="atLeast"/>
        </w:trPr>
        <w:tc>
          <w:tcPr>
            <w:tcW w:w="193"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4" w:type="pct"/>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val="en-US" w:eastAsia="zh-CN"/>
              </w:rPr>
            </w:pPr>
            <w:r>
              <w:rPr>
                <w:rFonts w:hint="eastAsia" w:ascii="Microsoft JhengHei"/>
                <w:b/>
                <w:sz w:val="21"/>
                <w:lang w:val="en-US" w:eastAsia="zh-CN"/>
              </w:rPr>
              <w:t>关联法条</w:t>
            </w:r>
          </w:p>
        </w:tc>
        <w:tc>
          <w:tcPr>
            <w:tcW w:w="4232" w:type="pct"/>
            <w:gridSpan w:val="4"/>
            <w:tcBorders>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eastAsia"/>
                <w:sz w:val="21"/>
                <w:lang w:val="en-US" w:eastAsia="zh-CN"/>
              </w:rPr>
            </w:pPr>
            <w:r>
              <w:rPr>
                <w:rFonts w:hint="eastAsia"/>
                <w:sz w:val="21"/>
                <w:lang w:val="en-US" w:eastAsia="zh-CN"/>
              </w:rPr>
              <w:t>《药品经营和使用质量监督管理办法》第七十条 有下列情形之一的，由药品监督管理部门责令限期改正；逾期不改正的，处五千元以上三万元以下罚款：</w:t>
            </w:r>
          </w:p>
          <w:p>
            <w:pPr>
              <w:pStyle w:val="11"/>
              <w:keepNext w:val="0"/>
              <w:keepLines w:val="0"/>
              <w:pageBreakBefore w:val="0"/>
              <w:widowControl w:val="0"/>
              <w:kinsoku/>
              <w:wordWrap/>
              <w:overflowPunct/>
              <w:topLinePunct w:val="0"/>
              <w:autoSpaceDE w:val="0"/>
              <w:autoSpaceDN w:val="0"/>
              <w:bidi w:val="0"/>
              <w:adjustRightInd/>
              <w:snapToGrid/>
              <w:spacing w:line="288" w:lineRule="auto"/>
              <w:ind w:right="0" w:firstLine="420" w:firstLineChars="200"/>
              <w:jc w:val="both"/>
              <w:textAlignment w:val="auto"/>
              <w:rPr>
                <w:rFonts w:hint="eastAsia"/>
                <w:sz w:val="21"/>
                <w:lang w:val="en-US" w:eastAsia="zh-CN"/>
              </w:rPr>
            </w:pPr>
            <w:r>
              <w:rPr>
                <w:rFonts w:hint="default"/>
                <w:sz w:val="21"/>
                <w:lang w:val="en-US" w:eastAsia="zh-CN"/>
              </w:rPr>
              <w:t>（一）接受药品上市许可持有人委托销售的药品经营企业违反本办法第三十四条第一款规定再次委托销售的；</w:t>
            </w:r>
          </w:p>
          <w:p>
            <w:pPr>
              <w:pStyle w:val="11"/>
              <w:keepNext w:val="0"/>
              <w:keepLines w:val="0"/>
              <w:pageBreakBefore w:val="0"/>
              <w:widowControl w:val="0"/>
              <w:kinsoku/>
              <w:wordWrap/>
              <w:overflowPunct/>
              <w:topLinePunct w:val="0"/>
              <w:autoSpaceDE w:val="0"/>
              <w:autoSpaceDN w:val="0"/>
              <w:bidi w:val="0"/>
              <w:adjustRightInd/>
              <w:snapToGrid/>
              <w:spacing w:line="288" w:lineRule="auto"/>
              <w:ind w:right="0" w:firstLine="420" w:firstLineChars="200"/>
              <w:jc w:val="both"/>
              <w:textAlignment w:val="auto"/>
              <w:rPr>
                <w:rFonts w:hint="eastAsia"/>
                <w:sz w:val="21"/>
                <w:lang w:val="en-US" w:eastAsia="zh-CN"/>
              </w:rPr>
            </w:pPr>
            <w:r>
              <w:rPr>
                <w:rFonts w:hint="default"/>
                <w:sz w:val="21"/>
                <w:lang w:val="en-US" w:eastAsia="zh-CN"/>
              </w:rPr>
              <w:t>（二）药品上市许可持有人未按本办法第三十四条第一款、第三十五条规定对委托销售行为进行管理的；</w:t>
            </w:r>
          </w:p>
          <w:p>
            <w:pPr>
              <w:pStyle w:val="11"/>
              <w:keepNext w:val="0"/>
              <w:keepLines w:val="0"/>
              <w:pageBreakBefore w:val="0"/>
              <w:widowControl w:val="0"/>
              <w:kinsoku/>
              <w:wordWrap/>
              <w:overflowPunct/>
              <w:topLinePunct w:val="0"/>
              <w:autoSpaceDE w:val="0"/>
              <w:autoSpaceDN w:val="0"/>
              <w:bidi w:val="0"/>
              <w:adjustRightInd/>
              <w:snapToGrid/>
              <w:spacing w:line="288" w:lineRule="auto"/>
              <w:ind w:right="0" w:firstLine="420" w:firstLineChars="200"/>
              <w:jc w:val="both"/>
              <w:textAlignment w:val="auto"/>
              <w:rPr>
                <w:rFonts w:hint="eastAsia"/>
                <w:sz w:val="21"/>
                <w:lang w:val="en-US" w:eastAsia="zh-CN"/>
              </w:rPr>
            </w:pPr>
            <w:r>
              <w:rPr>
                <w:rFonts w:hint="default"/>
                <w:sz w:val="21"/>
                <w:lang w:val="en-US" w:eastAsia="zh-CN"/>
              </w:rPr>
              <w:t>（三）药品上市许可持有人、药品经营企业未按本办法第四十五条第一款规定对委托储存、运输行为进行管理的；</w:t>
            </w:r>
          </w:p>
          <w:p>
            <w:pPr>
              <w:pStyle w:val="11"/>
              <w:keepNext w:val="0"/>
              <w:keepLines w:val="0"/>
              <w:pageBreakBefore w:val="0"/>
              <w:widowControl w:val="0"/>
              <w:kinsoku/>
              <w:wordWrap/>
              <w:overflowPunct/>
              <w:topLinePunct w:val="0"/>
              <w:autoSpaceDE w:val="0"/>
              <w:autoSpaceDN w:val="0"/>
              <w:bidi w:val="0"/>
              <w:adjustRightInd/>
              <w:snapToGrid/>
              <w:spacing w:line="288" w:lineRule="auto"/>
              <w:ind w:right="0" w:firstLine="420" w:firstLineChars="200"/>
              <w:jc w:val="both"/>
              <w:textAlignment w:val="auto"/>
              <w:rPr>
                <w:rFonts w:hint="eastAsia"/>
                <w:sz w:val="21"/>
                <w:lang w:val="en-US" w:eastAsia="zh-CN"/>
              </w:rPr>
            </w:pPr>
            <w:r>
              <w:rPr>
                <w:rFonts w:hint="default"/>
                <w:sz w:val="21"/>
                <w:lang w:val="en-US" w:eastAsia="zh-CN"/>
              </w:rPr>
              <w:t>（四）药品上市许可持有人、药品经营企业未按本办法第三十四条第二款、第四十五条第二款规定报告委托销售、储存情况的；</w:t>
            </w:r>
          </w:p>
          <w:p>
            <w:pPr>
              <w:pStyle w:val="11"/>
              <w:keepNext w:val="0"/>
              <w:keepLines w:val="0"/>
              <w:pageBreakBefore w:val="0"/>
              <w:widowControl w:val="0"/>
              <w:kinsoku/>
              <w:wordWrap/>
              <w:overflowPunct/>
              <w:topLinePunct w:val="0"/>
              <w:autoSpaceDE w:val="0"/>
              <w:autoSpaceDN w:val="0"/>
              <w:bidi w:val="0"/>
              <w:adjustRightInd/>
              <w:snapToGrid/>
              <w:spacing w:line="288" w:lineRule="auto"/>
              <w:ind w:right="0" w:firstLine="420" w:firstLineChars="200"/>
              <w:jc w:val="both"/>
              <w:textAlignment w:val="auto"/>
              <w:rPr>
                <w:rFonts w:hint="eastAsia"/>
                <w:sz w:val="21"/>
                <w:lang w:val="en-US" w:eastAsia="zh-CN"/>
              </w:rPr>
            </w:pPr>
            <w:r>
              <w:rPr>
                <w:rFonts w:hint="default"/>
                <w:sz w:val="21"/>
                <w:lang w:val="en-US" w:eastAsia="zh-CN"/>
              </w:rPr>
              <w:t>（五）接受委托储存药品的受托方违反本办法第四十七条第一款规定再次委托储存药品的；</w:t>
            </w:r>
          </w:p>
          <w:p>
            <w:pPr>
              <w:pStyle w:val="11"/>
              <w:keepNext w:val="0"/>
              <w:keepLines w:val="0"/>
              <w:pageBreakBefore w:val="0"/>
              <w:widowControl w:val="0"/>
              <w:kinsoku/>
              <w:wordWrap/>
              <w:overflowPunct/>
              <w:topLinePunct w:val="0"/>
              <w:autoSpaceDE w:val="0"/>
              <w:autoSpaceDN w:val="0"/>
              <w:bidi w:val="0"/>
              <w:adjustRightInd/>
              <w:snapToGrid/>
              <w:spacing w:line="288" w:lineRule="auto"/>
              <w:ind w:right="0" w:firstLine="420" w:firstLineChars="200"/>
              <w:jc w:val="both"/>
              <w:textAlignment w:val="auto"/>
              <w:rPr>
                <w:rFonts w:hint="eastAsia"/>
                <w:sz w:val="21"/>
                <w:lang w:val="en-US" w:eastAsia="zh-CN"/>
              </w:rPr>
            </w:pPr>
            <w:r>
              <w:rPr>
                <w:rFonts w:hint="default"/>
                <w:sz w:val="21"/>
                <w:lang w:val="en-US" w:eastAsia="zh-CN"/>
              </w:rPr>
              <w:t>（六）接受委托运输药品的受托方违反本办法第四十七条第二款规定运输药品的；</w:t>
            </w:r>
          </w:p>
          <w:p>
            <w:pPr>
              <w:pStyle w:val="11"/>
              <w:keepNext w:val="0"/>
              <w:keepLines w:val="0"/>
              <w:pageBreakBefore w:val="0"/>
              <w:widowControl w:val="0"/>
              <w:kinsoku/>
              <w:wordWrap/>
              <w:overflowPunct/>
              <w:topLinePunct w:val="0"/>
              <w:autoSpaceDE w:val="0"/>
              <w:autoSpaceDN w:val="0"/>
              <w:bidi w:val="0"/>
              <w:adjustRightInd/>
              <w:snapToGrid/>
              <w:spacing w:line="288" w:lineRule="auto"/>
              <w:ind w:right="0" w:firstLine="420" w:firstLineChars="200"/>
              <w:jc w:val="both"/>
              <w:textAlignment w:val="auto"/>
              <w:rPr>
                <w:rFonts w:hint="default" w:eastAsia="宋体"/>
                <w:sz w:val="21"/>
                <w:lang w:val="en-US" w:eastAsia="zh-CN"/>
              </w:rPr>
            </w:pPr>
            <w:r>
              <w:rPr>
                <w:rFonts w:hint="default"/>
                <w:sz w:val="21"/>
                <w:lang w:val="en-US" w:eastAsia="zh-CN"/>
              </w:rPr>
              <w:t>（七）接受委托储存、运输的受托方未按本办法第四十七条第三款规定向委托方所在地和受托方所在地药品监督管理部门报告药品重大质量问题的。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93"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4"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val="en-US" w:eastAsia="zh-CN"/>
              </w:rPr>
            </w:pPr>
            <w:r>
              <w:rPr>
                <w:rFonts w:hint="eastAsia" w:ascii="Microsoft JhengHei"/>
                <w:b/>
                <w:sz w:val="21"/>
                <w:lang w:val="en-US" w:eastAsia="zh-CN"/>
              </w:rPr>
              <w:t>裁量等级</w:t>
            </w:r>
          </w:p>
        </w:tc>
        <w:tc>
          <w:tcPr>
            <w:tcW w:w="965"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减轻处罚幅度</w:t>
            </w:r>
          </w:p>
        </w:tc>
        <w:tc>
          <w:tcPr>
            <w:tcW w:w="1104"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从轻处罚幅度</w:t>
            </w:r>
          </w:p>
        </w:tc>
        <w:tc>
          <w:tcPr>
            <w:tcW w:w="1056"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一般处罚幅度</w:t>
            </w:r>
          </w:p>
        </w:tc>
        <w:tc>
          <w:tcPr>
            <w:tcW w:w="1106"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3"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4"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val="en-US" w:eastAsia="zh-CN"/>
              </w:rPr>
            </w:pPr>
            <w:r>
              <w:rPr>
                <w:rFonts w:hint="eastAsia" w:ascii="Microsoft JhengHei"/>
                <w:b/>
                <w:sz w:val="21"/>
                <w:lang w:val="en-US" w:eastAsia="zh-CN"/>
              </w:rPr>
              <w:t>裁量基准</w:t>
            </w:r>
          </w:p>
        </w:tc>
        <w:tc>
          <w:tcPr>
            <w:tcW w:w="965"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p>
        </w:tc>
        <w:tc>
          <w:tcPr>
            <w:tcW w:w="1104"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从轻行政处罚，处0.5万元至1.25万元的罚款。</w:t>
            </w:r>
          </w:p>
        </w:tc>
        <w:tc>
          <w:tcPr>
            <w:tcW w:w="1056"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一般行政处罚，处1.25万元以上2.25万元以下的罚款。</w:t>
            </w:r>
          </w:p>
        </w:tc>
        <w:tc>
          <w:tcPr>
            <w:tcW w:w="1106"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从重行政处罚，处2.25万元至3万元的罚款。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193"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4"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2" w:line="240" w:lineRule="exact"/>
              <w:ind w:left="17" w:leftChars="0" w:right="11" w:rightChars="0"/>
              <w:jc w:val="both"/>
              <w:textAlignment w:val="auto"/>
              <w:rPr>
                <w:rFonts w:hint="eastAsia" w:ascii="Microsoft JhengHei" w:eastAsia="Microsoft JhengHei"/>
                <w:b/>
                <w:sz w:val="21"/>
              </w:rPr>
            </w:pPr>
            <w:r>
              <w:rPr>
                <w:rFonts w:hint="eastAsia" w:ascii="Microsoft JhengHei" w:eastAsia="Microsoft JhengHei"/>
                <w:b/>
                <w:sz w:val="21"/>
                <w:lang w:val="en-US" w:eastAsia="zh-CN"/>
              </w:rPr>
              <w:t>裁量因素</w:t>
            </w:r>
            <w:r>
              <w:rPr>
                <w:rFonts w:hint="eastAsia" w:ascii="Microsoft JhengHei" w:eastAsia="Microsoft JhengHei"/>
                <w:b w:val="0"/>
                <w:bCs/>
                <w:sz w:val="21"/>
                <w:lang w:val="en-US" w:eastAsia="zh-CN"/>
              </w:rPr>
              <w:t>（是指在进行裁量时，除裁量规则规定的从轻、减轻、从重情形外，可以考虑的因素）</w:t>
            </w:r>
          </w:p>
        </w:tc>
        <w:tc>
          <w:tcPr>
            <w:tcW w:w="4232" w:type="pct"/>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adjustRightInd/>
              <w:spacing w:line="240" w:lineRule="auto"/>
              <w:jc w:val="both"/>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从轻处罚考虑因素：</w:t>
            </w:r>
            <w:r>
              <w:rPr>
                <w:rFonts w:hint="eastAsia" w:ascii="宋体" w:hAnsi="宋体" w:eastAsia="宋体" w:cs="宋体"/>
                <w:b w:val="0"/>
                <w:bCs w:val="0"/>
                <w:color w:val="000000"/>
                <w:kern w:val="0"/>
                <w:sz w:val="21"/>
                <w:szCs w:val="21"/>
                <w:lang w:val="en-US" w:eastAsia="zh-CN" w:bidi="ar"/>
              </w:rPr>
              <w:t>逾期不超过十日的</w:t>
            </w:r>
            <w:r>
              <w:rPr>
                <w:rFonts w:hint="eastAsia" w:cs="宋体"/>
                <w:b w:val="0"/>
                <w:bCs w:val="0"/>
                <w:color w:val="000000"/>
                <w:kern w:val="0"/>
                <w:sz w:val="21"/>
                <w:szCs w:val="21"/>
                <w:lang w:val="en-US" w:eastAsia="zh-CN" w:bidi="ar"/>
              </w:rPr>
              <w:t>。</w:t>
            </w:r>
          </w:p>
          <w:p>
            <w:pPr>
              <w:keepNext w:val="0"/>
              <w:keepLines w:val="0"/>
              <w:pageBreakBefore w:val="0"/>
              <w:widowControl/>
              <w:suppressLineNumbers w:val="0"/>
              <w:kinsoku/>
              <w:wordWrap/>
              <w:overflowPunct/>
              <w:topLinePunct w:val="0"/>
              <w:bidi w:val="0"/>
              <w:adjustRightInd/>
              <w:spacing w:line="240" w:lineRule="auto"/>
              <w:jc w:val="both"/>
              <w:rPr>
                <w:rFonts w:hint="default"/>
                <w:sz w:val="21"/>
                <w:lang w:val="en-US"/>
              </w:rPr>
            </w:pPr>
            <w:r>
              <w:rPr>
                <w:rFonts w:hint="eastAsia" w:ascii="宋体" w:hAnsi="宋体" w:eastAsia="宋体" w:cs="宋体"/>
                <w:b/>
                <w:bCs/>
                <w:color w:val="000000"/>
                <w:kern w:val="0"/>
                <w:sz w:val="21"/>
                <w:szCs w:val="21"/>
                <w:lang w:val="en-US" w:eastAsia="zh-CN" w:bidi="ar"/>
              </w:rPr>
              <w:t>从重处罚考虑因素：</w:t>
            </w:r>
            <w:r>
              <w:rPr>
                <w:rFonts w:hint="eastAsia" w:ascii="宋体" w:hAnsi="宋体" w:eastAsia="宋体" w:cs="宋体"/>
                <w:b w:val="0"/>
                <w:bCs w:val="0"/>
                <w:color w:val="000000"/>
                <w:kern w:val="0"/>
                <w:sz w:val="21"/>
                <w:szCs w:val="21"/>
                <w:lang w:val="en-US" w:eastAsia="zh-CN" w:bidi="ar"/>
              </w:rPr>
              <w:t>逾期超过</w:t>
            </w:r>
            <w:r>
              <w:rPr>
                <w:rFonts w:hint="eastAsia" w:cs="宋体"/>
                <w:b w:val="0"/>
                <w:bCs w:val="0"/>
                <w:color w:val="000000"/>
                <w:kern w:val="0"/>
                <w:sz w:val="21"/>
                <w:szCs w:val="21"/>
                <w:lang w:val="en-US" w:eastAsia="zh-CN" w:bidi="ar"/>
              </w:rPr>
              <w:t>三十日</w:t>
            </w:r>
            <w:r>
              <w:rPr>
                <w:rFonts w:hint="eastAsia" w:ascii="宋体" w:hAnsi="宋体" w:eastAsia="宋体" w:cs="宋体"/>
                <w:b w:val="0"/>
                <w:bCs w:val="0"/>
                <w:color w:val="000000"/>
                <w:kern w:val="0"/>
                <w:sz w:val="21"/>
                <w:szCs w:val="21"/>
                <w:lang w:val="en-US" w:eastAsia="zh-CN" w:bidi="ar"/>
              </w:rPr>
              <w:t>的</w:t>
            </w:r>
            <w:r>
              <w:rPr>
                <w:rFonts w:hint="eastAsia" w:cs="宋体"/>
                <w:b w:val="0"/>
                <w:bCs w:val="0"/>
                <w:color w:val="000000"/>
                <w:kern w:val="0"/>
                <w:sz w:val="21"/>
                <w:szCs w:val="21"/>
                <w:lang w:val="en-US" w:eastAsia="zh-CN" w:bidi="ar"/>
              </w:rPr>
              <w:t>。</w:t>
            </w:r>
          </w:p>
        </w:tc>
      </w:tr>
    </w:tbl>
    <w:p>
      <w:pPr>
        <w:pStyle w:val="11"/>
        <w:keepNext w:val="0"/>
        <w:keepLines w:val="0"/>
        <w:pageBreakBefore w:val="0"/>
        <w:widowControl w:val="0"/>
        <w:kinsoku/>
        <w:wordWrap/>
        <w:overflowPunct/>
        <w:topLinePunct w:val="0"/>
        <w:autoSpaceDE w:val="0"/>
        <w:autoSpaceDN w:val="0"/>
        <w:bidi w:val="0"/>
        <w:adjustRightInd/>
        <w:snapToGrid/>
        <w:spacing w:line="240" w:lineRule="auto"/>
        <w:ind w:right="0" w:firstLine="421" w:firstLineChars="200"/>
        <w:jc w:val="both"/>
        <w:textAlignment w:val="auto"/>
        <w:rPr>
          <w:rFonts w:hint="eastAsia" w:ascii="Microsoft JhengHei"/>
          <w:b/>
          <w:sz w:val="21"/>
          <w:lang w:val="en-US" w:eastAsia="zh-CN"/>
        </w:rPr>
        <w:sectPr>
          <w:pgSz w:w="16838" w:h="11906" w:orient="landscape"/>
          <w:pgMar w:top="1800" w:right="1440" w:bottom="1800" w:left="1440" w:header="851" w:footer="992" w:gutter="0"/>
          <w:pgNumType w:fmt="decimal"/>
          <w:cols w:space="720" w:num="1"/>
          <w:docGrid w:type="lines" w:linePitch="312" w:charSpace="0"/>
        </w:sectPr>
      </w:pPr>
    </w:p>
    <w:tbl>
      <w:tblPr>
        <w:tblStyle w:val="8"/>
        <w:tblpPr w:leftFromText="180" w:rightFromText="180" w:vertAnchor="page" w:horzAnchor="page" w:tblpX="1512" w:tblpY="1854"/>
        <w:tblOverlap w:val="never"/>
        <w:tblW w:w="505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46"/>
        <w:gridCol w:w="1599"/>
        <w:gridCol w:w="2713"/>
        <w:gridCol w:w="3100"/>
        <w:gridCol w:w="2964"/>
        <w:gridCol w:w="3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29" w:type="pct"/>
            <w:vMerge w:val="restart"/>
            <w:tcBorders>
              <w:top w:val="single" w:color="auto" w:sz="4" w:space="0"/>
              <w:bottom w:val="nil"/>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ind w:left="14"/>
              <w:jc w:val="center"/>
              <w:rPr>
                <w:rFonts w:hint="default" w:eastAsia="宋体"/>
                <w:b/>
                <w:sz w:val="21"/>
                <w:lang w:val="en-US" w:eastAsia="zh-CN"/>
              </w:rPr>
            </w:pPr>
            <w:r>
              <w:rPr>
                <w:rFonts w:hint="eastAsia"/>
                <w:b/>
                <w:sz w:val="21"/>
                <w:lang w:val="en-US" w:eastAsia="zh-CN"/>
              </w:rPr>
              <w:t>36</w:t>
            </w:r>
          </w:p>
        </w:tc>
        <w:tc>
          <w:tcPr>
            <w:tcW w:w="566" w:type="pct"/>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eastAsia="zh-CN"/>
              </w:rPr>
            </w:pPr>
            <w:r>
              <w:rPr>
                <w:rFonts w:hint="eastAsia" w:ascii="Microsoft JhengHei"/>
                <w:b/>
                <w:sz w:val="21"/>
                <w:lang w:eastAsia="zh-CN"/>
              </w:rPr>
              <w:t>裁量条款</w:t>
            </w:r>
          </w:p>
        </w:tc>
        <w:tc>
          <w:tcPr>
            <w:tcW w:w="4203" w:type="pct"/>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hint="eastAsia" w:ascii="Microsoft JhengHei"/>
                <w:b/>
                <w:sz w:val="21"/>
                <w:lang w:val="en-US" w:eastAsia="zh-CN"/>
              </w:rPr>
            </w:pPr>
            <w:r>
              <w:rPr>
                <w:rFonts w:hint="eastAsia" w:ascii="Microsoft JhengHei"/>
                <w:b/>
                <w:sz w:val="21"/>
                <w:lang w:val="en-US" w:eastAsia="zh-CN"/>
              </w:rPr>
              <w:t>第三十六条  本条是对《药品经营和使用质量监督管理办法》第七十二条“处五千元以上五万元以下罚款”裁量基准的规定。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2" w:hRule="atLeast"/>
        </w:trPr>
        <w:tc>
          <w:tcPr>
            <w:tcW w:w="229"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66" w:type="pct"/>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val="en-US" w:eastAsia="zh-CN"/>
              </w:rPr>
            </w:pPr>
            <w:r>
              <w:rPr>
                <w:rFonts w:hint="eastAsia" w:ascii="Microsoft JhengHei"/>
                <w:b/>
                <w:sz w:val="21"/>
                <w:lang w:val="en-US" w:eastAsia="zh-CN"/>
              </w:rPr>
              <w:t>关联法条</w:t>
            </w:r>
          </w:p>
        </w:tc>
        <w:tc>
          <w:tcPr>
            <w:tcW w:w="4203" w:type="pct"/>
            <w:gridSpan w:val="4"/>
            <w:tcBorders>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eastAsia"/>
                <w:sz w:val="21"/>
                <w:lang w:val="en-US" w:eastAsia="zh-CN"/>
              </w:rPr>
            </w:pPr>
            <w:r>
              <w:rPr>
                <w:rFonts w:hint="eastAsia"/>
                <w:sz w:val="21"/>
                <w:lang w:val="en-US" w:eastAsia="zh-CN"/>
              </w:rPr>
              <w:t>《药品经营和使用质量监督管理办法》第七十二条 药品零售企业有以下情形之一的，由药品监督管理部门责令限期改正；逾期不改正的，处五千元以上五万元以下罚款；造成危害后果的，处五万元以上二十万元以下罚款：</w:t>
            </w:r>
          </w:p>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eastAsia"/>
                <w:sz w:val="21"/>
                <w:lang w:val="en-US" w:eastAsia="zh-CN"/>
              </w:rPr>
            </w:pPr>
            <w:r>
              <w:rPr>
                <w:rFonts w:hint="default"/>
                <w:sz w:val="21"/>
                <w:lang w:val="en-US" w:eastAsia="zh-CN"/>
              </w:rPr>
              <w:t>（一）未按规定凭处方销售处方药的；</w:t>
            </w:r>
          </w:p>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eastAsia"/>
                <w:sz w:val="21"/>
                <w:lang w:val="en-US" w:eastAsia="zh-CN"/>
              </w:rPr>
            </w:pPr>
            <w:r>
              <w:rPr>
                <w:rFonts w:hint="default"/>
                <w:sz w:val="21"/>
                <w:lang w:val="en-US" w:eastAsia="zh-CN"/>
              </w:rPr>
              <w:t>（二）以买药品赠药品或者买商品赠药品等方式向公众直接或者变相赠送处方药、甲类非处方药的；</w:t>
            </w:r>
          </w:p>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default" w:eastAsia="宋体"/>
                <w:sz w:val="21"/>
                <w:lang w:val="en-US" w:eastAsia="zh-CN"/>
              </w:rPr>
            </w:pPr>
            <w:r>
              <w:rPr>
                <w:rFonts w:hint="default"/>
                <w:sz w:val="21"/>
                <w:lang w:val="en-US" w:eastAsia="zh-CN"/>
              </w:rPr>
              <w:t>（三）违反本办法第四十二条第五款规定的药师或者药学技术人员管理要求的。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29"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66"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eastAsia="zh-CN"/>
              </w:rPr>
            </w:pPr>
            <w:r>
              <w:rPr>
                <w:rFonts w:hint="eastAsia" w:ascii="Microsoft JhengHei"/>
                <w:b/>
                <w:sz w:val="21"/>
                <w:lang w:eastAsia="zh-CN"/>
              </w:rPr>
              <w:t>裁量等级</w:t>
            </w:r>
          </w:p>
        </w:tc>
        <w:tc>
          <w:tcPr>
            <w:tcW w:w="960"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减轻处罚幅度</w:t>
            </w:r>
          </w:p>
        </w:tc>
        <w:tc>
          <w:tcPr>
            <w:tcW w:w="1097"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从轻处罚幅度</w:t>
            </w:r>
          </w:p>
        </w:tc>
        <w:tc>
          <w:tcPr>
            <w:tcW w:w="1049"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一般处罚幅度</w:t>
            </w:r>
          </w:p>
        </w:tc>
        <w:tc>
          <w:tcPr>
            <w:tcW w:w="1096"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hRule="atLeast"/>
        </w:trPr>
        <w:tc>
          <w:tcPr>
            <w:tcW w:w="229"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66"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eastAsia="zh-CN"/>
              </w:rPr>
            </w:pPr>
            <w:r>
              <w:rPr>
                <w:rFonts w:hint="eastAsia" w:ascii="Microsoft JhengHei"/>
                <w:b/>
                <w:sz w:val="21"/>
                <w:lang w:eastAsia="zh-CN"/>
              </w:rPr>
              <w:t>裁量基准</w:t>
            </w:r>
          </w:p>
        </w:tc>
        <w:tc>
          <w:tcPr>
            <w:tcW w:w="960"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p>
        </w:tc>
        <w:tc>
          <w:tcPr>
            <w:tcW w:w="1097"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从轻行政处罚，处0.5万元至1.85万元的罚款。</w:t>
            </w:r>
          </w:p>
        </w:tc>
        <w:tc>
          <w:tcPr>
            <w:tcW w:w="1049"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一般行政处罚，处1.85万元以上3.65万元以下的罚款。</w:t>
            </w:r>
          </w:p>
        </w:tc>
        <w:tc>
          <w:tcPr>
            <w:tcW w:w="1096"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从重行政处罚，处3.65万元至5万元的罚款。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8" w:hRule="atLeast"/>
        </w:trPr>
        <w:tc>
          <w:tcPr>
            <w:tcW w:w="229"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66" w:type="pct"/>
            <w:tcBorders>
              <w:top w:val="single" w:color="000000" w:sz="8" w:space="0"/>
              <w:left w:val="single" w:color="000000" w:sz="8" w:space="0"/>
              <w:bottom w:val="single" w:color="000000" w:sz="8" w:space="0"/>
              <w:right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2" w:line="240" w:lineRule="exact"/>
              <w:ind w:left="17" w:leftChars="0" w:right="11" w:rightChars="0"/>
              <w:jc w:val="both"/>
              <w:textAlignment w:val="auto"/>
              <w:rPr>
                <w:rFonts w:hint="eastAsia" w:eastAsia="宋体"/>
                <w:lang w:val="en-US" w:eastAsia="zh-CN"/>
              </w:rPr>
            </w:pPr>
            <w:r>
              <w:rPr>
                <w:rFonts w:hint="eastAsia" w:ascii="Microsoft JhengHei" w:eastAsia="Microsoft JhengHei"/>
                <w:b/>
                <w:sz w:val="21"/>
                <w:lang w:val="en-US" w:eastAsia="zh-CN"/>
              </w:rPr>
              <w:t>裁量因素</w:t>
            </w:r>
            <w:r>
              <w:rPr>
                <w:rFonts w:hint="eastAsia" w:ascii="Microsoft JhengHei" w:eastAsia="Microsoft JhengHei"/>
                <w:b w:val="0"/>
                <w:bCs/>
                <w:sz w:val="21"/>
                <w:lang w:val="en-US" w:eastAsia="zh-CN"/>
              </w:rPr>
              <w:t>（是指在进行裁量时，除裁量规则规定的从轻、减轻、从重情形外，可以考虑的因素）</w:t>
            </w:r>
          </w:p>
        </w:tc>
        <w:tc>
          <w:tcPr>
            <w:tcW w:w="4203" w:type="pct"/>
            <w:gridSpan w:val="4"/>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adjustRightInd/>
              <w:spacing w:line="240" w:lineRule="auto"/>
              <w:jc w:val="both"/>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从轻处罚考虑因素：</w:t>
            </w:r>
            <w:r>
              <w:rPr>
                <w:rFonts w:hint="eastAsia" w:ascii="宋体" w:hAnsi="宋体" w:eastAsia="宋体" w:cs="宋体"/>
                <w:b w:val="0"/>
                <w:bCs w:val="0"/>
                <w:color w:val="000000"/>
                <w:kern w:val="0"/>
                <w:sz w:val="21"/>
                <w:szCs w:val="21"/>
                <w:lang w:val="en-US" w:eastAsia="zh-CN" w:bidi="ar"/>
              </w:rPr>
              <w:t>逾期不超过十日的</w:t>
            </w:r>
            <w:r>
              <w:rPr>
                <w:rFonts w:hint="eastAsia" w:cs="宋体"/>
                <w:b w:val="0"/>
                <w:bCs w:val="0"/>
                <w:color w:val="000000"/>
                <w:kern w:val="0"/>
                <w:sz w:val="21"/>
                <w:szCs w:val="21"/>
                <w:lang w:val="en-US" w:eastAsia="zh-CN" w:bidi="ar"/>
              </w:rPr>
              <w:t>。</w:t>
            </w:r>
          </w:p>
          <w:p>
            <w:pPr>
              <w:keepNext w:val="0"/>
              <w:keepLines w:val="0"/>
              <w:pageBreakBefore w:val="0"/>
              <w:widowControl/>
              <w:suppressLineNumbers w:val="0"/>
              <w:kinsoku/>
              <w:wordWrap/>
              <w:overflowPunct/>
              <w:topLinePunct w:val="0"/>
              <w:bidi w:val="0"/>
              <w:adjustRightInd/>
              <w:spacing w:line="240" w:lineRule="auto"/>
              <w:jc w:val="both"/>
              <w:rPr>
                <w:rFonts w:hint="default" w:eastAsia="宋体"/>
                <w:sz w:val="21"/>
                <w:lang w:val="en-US" w:eastAsia="zh-CN"/>
              </w:rPr>
            </w:pPr>
            <w:r>
              <w:rPr>
                <w:rFonts w:hint="eastAsia" w:ascii="宋体" w:hAnsi="宋体" w:eastAsia="宋体" w:cs="宋体"/>
                <w:b/>
                <w:bCs/>
                <w:color w:val="000000"/>
                <w:kern w:val="0"/>
                <w:sz w:val="21"/>
                <w:szCs w:val="21"/>
                <w:lang w:val="en-US" w:eastAsia="zh-CN" w:bidi="ar"/>
              </w:rPr>
              <w:t>从重处罚考虑因素：</w:t>
            </w:r>
            <w:r>
              <w:rPr>
                <w:rFonts w:hint="eastAsia" w:ascii="宋体" w:hAnsi="宋体" w:eastAsia="宋体" w:cs="宋体"/>
                <w:b w:val="0"/>
                <w:bCs w:val="0"/>
                <w:color w:val="000000"/>
                <w:kern w:val="0"/>
                <w:sz w:val="21"/>
                <w:szCs w:val="21"/>
                <w:lang w:val="en-US" w:eastAsia="zh-CN" w:bidi="ar"/>
              </w:rPr>
              <w:t>逾期超过</w:t>
            </w:r>
            <w:r>
              <w:rPr>
                <w:rFonts w:hint="eastAsia" w:cs="宋体"/>
                <w:b w:val="0"/>
                <w:bCs w:val="0"/>
                <w:color w:val="000000"/>
                <w:kern w:val="0"/>
                <w:sz w:val="21"/>
                <w:szCs w:val="21"/>
                <w:lang w:val="en-US" w:eastAsia="zh-CN" w:bidi="ar"/>
              </w:rPr>
              <w:t>三十日</w:t>
            </w:r>
            <w:r>
              <w:rPr>
                <w:rFonts w:hint="eastAsia" w:ascii="宋体" w:hAnsi="宋体" w:eastAsia="宋体" w:cs="宋体"/>
                <w:b w:val="0"/>
                <w:bCs w:val="0"/>
                <w:color w:val="000000"/>
                <w:kern w:val="0"/>
                <w:sz w:val="21"/>
                <w:szCs w:val="21"/>
                <w:lang w:val="en-US" w:eastAsia="zh-CN" w:bidi="ar"/>
              </w:rPr>
              <w:t>的</w:t>
            </w:r>
            <w:r>
              <w:rPr>
                <w:rFonts w:hint="eastAsia" w:cs="宋体"/>
                <w:b w:val="0"/>
                <w:bCs w:val="0"/>
                <w:color w:val="000000"/>
                <w:kern w:val="0"/>
                <w:sz w:val="21"/>
                <w:szCs w:val="21"/>
                <w:lang w:val="en-US" w:eastAsia="zh-CN" w:bidi="ar"/>
              </w:rPr>
              <w:t>。</w:t>
            </w:r>
          </w:p>
        </w:tc>
      </w:tr>
    </w:tbl>
    <w:p>
      <w:pPr>
        <w:pStyle w:val="11"/>
        <w:keepNext w:val="0"/>
        <w:keepLines w:val="0"/>
        <w:pageBreakBefore w:val="0"/>
        <w:widowControl w:val="0"/>
        <w:kinsoku/>
        <w:wordWrap/>
        <w:overflowPunct/>
        <w:topLinePunct w:val="0"/>
        <w:autoSpaceDE w:val="0"/>
        <w:autoSpaceDN w:val="0"/>
        <w:bidi w:val="0"/>
        <w:adjustRightInd/>
        <w:snapToGrid/>
        <w:spacing w:line="240" w:lineRule="auto"/>
        <w:ind w:right="0"/>
        <w:jc w:val="both"/>
        <w:textAlignment w:val="auto"/>
        <w:rPr>
          <w:rFonts w:hint="eastAsia" w:ascii="Microsoft JhengHei"/>
          <w:b/>
          <w:sz w:val="21"/>
          <w:lang w:val="en-US" w:eastAsia="zh-CN"/>
        </w:rPr>
      </w:pPr>
    </w:p>
    <w:p>
      <w:pPr>
        <w:pStyle w:val="11"/>
        <w:keepNext w:val="0"/>
        <w:keepLines w:val="0"/>
        <w:pageBreakBefore w:val="0"/>
        <w:widowControl w:val="0"/>
        <w:kinsoku/>
        <w:wordWrap/>
        <w:overflowPunct/>
        <w:topLinePunct w:val="0"/>
        <w:autoSpaceDE w:val="0"/>
        <w:autoSpaceDN w:val="0"/>
        <w:bidi w:val="0"/>
        <w:adjustRightInd/>
        <w:snapToGrid/>
        <w:spacing w:line="240" w:lineRule="auto"/>
        <w:ind w:right="0"/>
        <w:jc w:val="both"/>
        <w:textAlignment w:val="auto"/>
        <w:rPr>
          <w:rFonts w:hint="eastAsia" w:ascii="Microsoft JhengHei"/>
          <w:b/>
          <w:sz w:val="21"/>
          <w:lang w:val="en-US" w:eastAsia="zh-CN"/>
        </w:rPr>
        <w:sectPr>
          <w:pgSz w:w="16838" w:h="11906" w:orient="landscape"/>
          <w:pgMar w:top="1800" w:right="1440" w:bottom="1800" w:left="1440" w:header="851" w:footer="992" w:gutter="0"/>
          <w:pgNumType w:fmt="decimal"/>
          <w:cols w:space="720" w:num="1"/>
          <w:docGrid w:type="lines" w:linePitch="312" w:charSpace="0"/>
        </w:sectPr>
      </w:pPr>
    </w:p>
    <w:tbl>
      <w:tblPr>
        <w:tblStyle w:val="8"/>
        <w:tblpPr w:leftFromText="180" w:rightFromText="180" w:vertAnchor="page" w:horzAnchor="page" w:tblpX="1531" w:tblpY="1831"/>
        <w:tblOverlap w:val="never"/>
        <w:tblW w:w="506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22"/>
        <w:gridCol w:w="1612"/>
        <w:gridCol w:w="2808"/>
        <w:gridCol w:w="3083"/>
        <w:gridCol w:w="2947"/>
        <w:gridCol w:w="3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 w:hRule="atLeast"/>
        </w:trPr>
        <w:tc>
          <w:tcPr>
            <w:tcW w:w="220" w:type="pct"/>
            <w:vMerge w:val="restart"/>
            <w:tcBorders>
              <w:top w:val="single" w:color="auto" w:sz="4" w:space="0"/>
              <w:bottom w:val="nil"/>
              <w:right w:val="single" w:color="000000" w:sz="8" w:space="0"/>
            </w:tcBorders>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0" w:firstLineChars="0"/>
              <w:jc w:val="center"/>
              <w:textAlignment w:val="auto"/>
              <w:rPr>
                <w:rFonts w:hint="default" w:ascii="Microsoft JhengHei"/>
                <w:b/>
                <w:sz w:val="21"/>
                <w:lang w:val="en-US" w:eastAsia="zh-CN"/>
              </w:rPr>
            </w:pPr>
            <w:r>
              <w:rPr>
                <w:rFonts w:hint="eastAsia" w:ascii="Microsoft JhengHei"/>
                <w:b/>
                <w:sz w:val="21"/>
                <w:lang w:val="en-US" w:eastAsia="zh-CN"/>
              </w:rPr>
              <w:t>37</w:t>
            </w:r>
          </w:p>
        </w:tc>
        <w:tc>
          <w:tcPr>
            <w:tcW w:w="570" w:type="pct"/>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hint="eastAsia" w:ascii="Microsoft JhengHei"/>
                <w:b/>
                <w:sz w:val="21"/>
                <w:lang w:val="en-US" w:eastAsia="zh-CN"/>
              </w:rPr>
            </w:pPr>
            <w:r>
              <w:rPr>
                <w:rFonts w:hint="eastAsia" w:ascii="Microsoft JhengHei"/>
                <w:b/>
                <w:sz w:val="21"/>
                <w:lang w:val="en-US" w:eastAsia="zh-CN"/>
              </w:rPr>
              <w:t>裁量条款</w:t>
            </w:r>
          </w:p>
        </w:tc>
        <w:tc>
          <w:tcPr>
            <w:tcW w:w="4209" w:type="pct"/>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hint="eastAsia" w:ascii="Microsoft JhengHei"/>
                <w:b/>
                <w:sz w:val="21"/>
                <w:lang w:val="en-US" w:eastAsia="zh-CN"/>
              </w:rPr>
            </w:pPr>
            <w:r>
              <w:rPr>
                <w:rFonts w:hint="eastAsia" w:ascii="Microsoft JhengHei"/>
                <w:b/>
                <w:sz w:val="21"/>
                <w:lang w:val="en-US" w:eastAsia="zh-CN"/>
              </w:rPr>
              <w:t>第三十七条  本条是对《药品经营和使用质量监督管理办法》第七十二条“处五万元以上二十万元以下罚款”裁量基准的规定。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20"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0" w:type="pct"/>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val="en-US" w:eastAsia="zh-CN"/>
              </w:rPr>
            </w:pPr>
            <w:r>
              <w:rPr>
                <w:rFonts w:hint="eastAsia" w:ascii="Microsoft JhengHei"/>
                <w:b/>
                <w:sz w:val="21"/>
                <w:lang w:val="en-US" w:eastAsia="zh-CN"/>
              </w:rPr>
              <w:t>关联法条</w:t>
            </w:r>
          </w:p>
        </w:tc>
        <w:tc>
          <w:tcPr>
            <w:tcW w:w="4209" w:type="pct"/>
            <w:gridSpan w:val="4"/>
            <w:tcBorders>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default" w:eastAsia="宋体"/>
                <w:sz w:val="21"/>
                <w:lang w:val="en-US" w:eastAsia="zh-CN"/>
              </w:rPr>
            </w:pPr>
            <w:r>
              <w:rPr>
                <w:rFonts w:hint="eastAsia"/>
                <w:sz w:val="21"/>
                <w:lang w:val="en-US" w:eastAsia="zh-CN"/>
              </w:rPr>
              <w:t xml:space="preserve">《药品经营和使用质量监督管理办法》第七十二条 </w:t>
            </w:r>
            <w:r>
              <w:rPr>
                <w:rFonts w:hint="eastAsia"/>
                <w:sz w:val="21"/>
                <w:lang w:val="en-US"/>
              </w:rPr>
              <w:t>（详见本基准第</w:t>
            </w:r>
            <w:r>
              <w:rPr>
                <w:rFonts w:hint="eastAsia"/>
                <w:sz w:val="21"/>
                <w:lang w:val="en-US" w:eastAsia="zh-CN"/>
              </w:rPr>
              <w:t>三</w:t>
            </w:r>
            <w:r>
              <w:rPr>
                <w:rFonts w:hint="eastAsia"/>
                <w:sz w:val="21"/>
                <w:lang w:val="en-US"/>
              </w:rPr>
              <w:t>十</w:t>
            </w:r>
            <w:r>
              <w:rPr>
                <w:rFonts w:hint="eastAsia"/>
                <w:sz w:val="21"/>
                <w:lang w:val="en-US" w:eastAsia="zh-CN"/>
              </w:rPr>
              <w:t>六</w:t>
            </w:r>
            <w:r>
              <w:rPr>
                <w:rFonts w:hint="eastAsia"/>
                <w:sz w:val="21"/>
                <w:lang w:val="en-US"/>
              </w:rPr>
              <w:t>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20"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0"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eastAsia="zh-CN"/>
              </w:rPr>
            </w:pPr>
            <w:r>
              <w:rPr>
                <w:rFonts w:hint="eastAsia" w:ascii="Microsoft JhengHei"/>
                <w:b/>
                <w:sz w:val="21"/>
                <w:lang w:eastAsia="zh-CN"/>
              </w:rPr>
              <w:t>裁量等级</w:t>
            </w:r>
          </w:p>
        </w:tc>
        <w:tc>
          <w:tcPr>
            <w:tcW w:w="993"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减轻处罚幅度</w:t>
            </w:r>
          </w:p>
        </w:tc>
        <w:tc>
          <w:tcPr>
            <w:tcW w:w="1090"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从轻处罚幅度</w:t>
            </w:r>
          </w:p>
        </w:tc>
        <w:tc>
          <w:tcPr>
            <w:tcW w:w="1042"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一般处罚幅度</w:t>
            </w:r>
          </w:p>
        </w:tc>
        <w:tc>
          <w:tcPr>
            <w:tcW w:w="1084"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2" w:hRule="atLeast"/>
        </w:trPr>
        <w:tc>
          <w:tcPr>
            <w:tcW w:w="220"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0"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eastAsia="zh-CN"/>
              </w:rPr>
            </w:pPr>
            <w:r>
              <w:rPr>
                <w:rFonts w:hint="eastAsia" w:ascii="Microsoft JhengHei"/>
                <w:b/>
                <w:sz w:val="21"/>
                <w:lang w:eastAsia="zh-CN"/>
              </w:rPr>
              <w:t>裁量基准</w:t>
            </w:r>
          </w:p>
        </w:tc>
        <w:tc>
          <w:tcPr>
            <w:tcW w:w="993"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p>
        </w:tc>
        <w:tc>
          <w:tcPr>
            <w:tcW w:w="1090"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从轻行政处罚，处5万元至9.5万元的罚款。</w:t>
            </w:r>
          </w:p>
        </w:tc>
        <w:tc>
          <w:tcPr>
            <w:tcW w:w="1042"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一般行政处罚，处9.5万元以上15.5万元以下的罚款。</w:t>
            </w:r>
          </w:p>
        </w:tc>
        <w:tc>
          <w:tcPr>
            <w:tcW w:w="1084"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从重行政处罚，处15.5万元至20万元的罚款。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8" w:hRule="atLeast"/>
        </w:trPr>
        <w:tc>
          <w:tcPr>
            <w:tcW w:w="220"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0" w:type="pct"/>
            <w:tcBorders>
              <w:top w:val="single" w:color="000000" w:sz="8" w:space="0"/>
              <w:left w:val="single" w:color="000000" w:sz="8" w:space="0"/>
              <w:right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2" w:line="240" w:lineRule="exact"/>
              <w:ind w:left="17" w:leftChars="0" w:right="11" w:rightChars="0"/>
              <w:jc w:val="both"/>
              <w:textAlignment w:val="auto"/>
              <w:rPr>
                <w:rFonts w:hint="eastAsia" w:eastAsia="宋体"/>
                <w:lang w:val="en-US" w:eastAsia="zh-CN"/>
              </w:rPr>
            </w:pPr>
            <w:r>
              <w:rPr>
                <w:rFonts w:hint="eastAsia" w:ascii="Microsoft JhengHei" w:eastAsia="Microsoft JhengHei"/>
                <w:b/>
                <w:sz w:val="21"/>
                <w:lang w:val="en-US" w:eastAsia="zh-CN"/>
              </w:rPr>
              <w:t>裁量因素</w:t>
            </w:r>
            <w:r>
              <w:rPr>
                <w:rFonts w:hint="eastAsia" w:ascii="Microsoft JhengHei" w:eastAsia="Microsoft JhengHei"/>
                <w:b w:val="0"/>
                <w:bCs/>
                <w:sz w:val="21"/>
                <w:lang w:val="en-US" w:eastAsia="zh-CN"/>
              </w:rPr>
              <w:t>（是指在进行裁量时，除裁量规则规定的从轻、减轻、从重情形外，可以考虑的因素）</w:t>
            </w:r>
          </w:p>
        </w:tc>
        <w:tc>
          <w:tcPr>
            <w:tcW w:w="4209" w:type="pct"/>
            <w:gridSpan w:val="4"/>
            <w:tcBorders>
              <w:top w:val="single" w:color="000000" w:sz="8" w:space="0"/>
              <w:left w:val="single" w:color="auto" w:sz="4" w:space="0"/>
              <w:bottom w:val="single" w:color="auto" w:sz="4" w:space="0"/>
              <w:right w:val="single" w:color="000000" w:sz="8" w:space="0"/>
            </w:tcBorders>
            <w:noWrap w:val="0"/>
            <w:vAlign w:val="center"/>
          </w:tcPr>
          <w:p>
            <w:pPr>
              <w:keepNext w:val="0"/>
              <w:keepLines w:val="0"/>
              <w:pageBreakBefore w:val="0"/>
              <w:widowControl/>
              <w:numPr>
                <w:ilvl w:val="0"/>
                <w:numId w:val="0"/>
              </w:numPr>
              <w:suppressLineNumbers w:val="0"/>
              <w:kinsoku/>
              <w:wordWrap/>
              <w:overflowPunct/>
              <w:topLinePunct w:val="0"/>
              <w:bidi w:val="0"/>
              <w:adjustRightInd/>
              <w:spacing w:line="240" w:lineRule="auto"/>
              <w:jc w:val="both"/>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从</w:t>
            </w:r>
            <w:r>
              <w:rPr>
                <w:rFonts w:hint="eastAsia" w:cs="宋体"/>
                <w:b/>
                <w:bCs/>
                <w:color w:val="000000"/>
                <w:kern w:val="0"/>
                <w:sz w:val="21"/>
                <w:szCs w:val="21"/>
                <w:lang w:val="en-US" w:eastAsia="zh-CN" w:bidi="ar"/>
              </w:rPr>
              <w:t>轻</w:t>
            </w:r>
            <w:r>
              <w:rPr>
                <w:rFonts w:hint="eastAsia" w:ascii="宋体" w:hAnsi="宋体" w:eastAsia="宋体" w:cs="宋体"/>
                <w:b/>
                <w:bCs/>
                <w:color w:val="000000"/>
                <w:kern w:val="0"/>
                <w:sz w:val="21"/>
                <w:szCs w:val="21"/>
                <w:lang w:val="en-US" w:eastAsia="zh-CN" w:bidi="ar"/>
              </w:rPr>
              <w:t>处罚考虑因素：</w:t>
            </w:r>
          </w:p>
          <w:p>
            <w:pPr>
              <w:keepNext w:val="0"/>
              <w:keepLines w:val="0"/>
              <w:pageBreakBefore w:val="0"/>
              <w:widowControl/>
              <w:numPr>
                <w:ilvl w:val="0"/>
                <w:numId w:val="0"/>
              </w:numPr>
              <w:suppressLineNumbers w:val="0"/>
              <w:kinsoku/>
              <w:wordWrap/>
              <w:overflowPunct/>
              <w:topLinePunct w:val="0"/>
              <w:bidi w:val="0"/>
              <w:adjustRightInd/>
              <w:spacing w:line="240" w:lineRule="auto"/>
              <w:jc w:val="both"/>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w:t>
            </w:r>
            <w:r>
              <w:rPr>
                <w:rFonts w:hint="eastAsia" w:cs="宋体"/>
                <w:kern w:val="0"/>
                <w:sz w:val="21"/>
                <w:szCs w:val="21"/>
                <w:lang w:val="en-US" w:eastAsia="zh-CN" w:bidi="zh-CN"/>
              </w:rPr>
              <w:t>一</w:t>
            </w:r>
            <w:r>
              <w:rPr>
                <w:rFonts w:hint="eastAsia" w:ascii="宋体" w:hAnsi="宋体" w:eastAsia="宋体" w:cs="宋体"/>
                <w:kern w:val="0"/>
                <w:sz w:val="21"/>
                <w:szCs w:val="21"/>
                <w:lang w:val="en-US" w:eastAsia="zh-CN" w:bidi="zh-CN"/>
              </w:rPr>
              <w:t>）危害程度较轻</w:t>
            </w:r>
            <w:r>
              <w:rPr>
                <w:rFonts w:hint="eastAsia" w:cs="宋体"/>
                <w:kern w:val="0"/>
                <w:sz w:val="21"/>
                <w:szCs w:val="21"/>
                <w:lang w:val="en-US" w:eastAsia="zh-CN" w:bidi="zh-CN"/>
              </w:rPr>
              <w:t>；</w:t>
            </w:r>
          </w:p>
          <w:p>
            <w:pPr>
              <w:keepNext w:val="0"/>
              <w:keepLines w:val="0"/>
              <w:pageBreakBefore w:val="0"/>
              <w:widowControl/>
              <w:numPr>
                <w:ilvl w:val="0"/>
                <w:numId w:val="0"/>
              </w:numPr>
              <w:suppressLineNumbers w:val="0"/>
              <w:kinsoku/>
              <w:wordWrap/>
              <w:overflowPunct/>
              <w:topLinePunct w:val="0"/>
              <w:bidi w:val="0"/>
              <w:adjustRightInd/>
              <w:spacing w:line="240" w:lineRule="auto"/>
              <w:jc w:val="both"/>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w:t>
            </w:r>
            <w:r>
              <w:rPr>
                <w:rFonts w:hint="eastAsia" w:cs="宋体"/>
                <w:kern w:val="0"/>
                <w:sz w:val="21"/>
                <w:szCs w:val="21"/>
                <w:lang w:val="en-US" w:eastAsia="zh-CN" w:bidi="zh-CN"/>
              </w:rPr>
              <w:t>二</w:t>
            </w:r>
            <w:r>
              <w:rPr>
                <w:rFonts w:hint="eastAsia" w:ascii="宋体" w:hAnsi="宋体" w:eastAsia="宋体" w:cs="宋体"/>
                <w:kern w:val="0"/>
                <w:sz w:val="21"/>
                <w:szCs w:val="21"/>
                <w:lang w:val="en-US" w:eastAsia="zh-CN" w:bidi="zh-CN"/>
              </w:rPr>
              <w:t>）</w:t>
            </w:r>
            <w:r>
              <w:rPr>
                <w:rFonts w:hint="default" w:ascii="宋体" w:hAnsi="宋体" w:eastAsia="宋体" w:cs="宋体"/>
                <w:kern w:val="0"/>
                <w:sz w:val="21"/>
                <w:szCs w:val="21"/>
                <w:lang w:val="en-US" w:eastAsia="zh-CN" w:bidi="zh-CN"/>
              </w:rPr>
              <w:t>危害范围较小</w:t>
            </w:r>
            <w:r>
              <w:rPr>
                <w:rFonts w:hint="eastAsia" w:cs="宋体"/>
                <w:kern w:val="0"/>
                <w:sz w:val="21"/>
                <w:szCs w:val="21"/>
                <w:lang w:val="en-US" w:eastAsia="zh-CN" w:bidi="zh-CN"/>
              </w:rPr>
              <w:t>；</w:t>
            </w:r>
          </w:p>
          <w:p>
            <w:pPr>
              <w:keepNext w:val="0"/>
              <w:keepLines w:val="0"/>
              <w:pageBreakBefore w:val="0"/>
              <w:widowControl/>
              <w:numPr>
                <w:ilvl w:val="0"/>
                <w:numId w:val="0"/>
              </w:numPr>
              <w:suppressLineNumbers w:val="0"/>
              <w:kinsoku/>
              <w:wordWrap/>
              <w:overflowPunct/>
              <w:topLinePunct w:val="0"/>
              <w:bidi w:val="0"/>
              <w:adjustRightInd/>
              <w:spacing w:line="240" w:lineRule="auto"/>
              <w:jc w:val="both"/>
              <w:rPr>
                <w:rFonts w:hint="eastAsia" w:ascii="宋体" w:hAnsi="宋体" w:eastAsia="宋体" w:cs="宋体"/>
                <w:kern w:val="0"/>
                <w:sz w:val="21"/>
                <w:szCs w:val="21"/>
                <w:lang w:val="en-US" w:eastAsia="zh-CN" w:bidi="zh-CN"/>
              </w:rPr>
            </w:pPr>
            <w:r>
              <w:rPr>
                <w:rFonts w:hint="default" w:ascii="宋体" w:hAnsi="宋体" w:eastAsia="宋体" w:cs="宋体"/>
                <w:kern w:val="0"/>
                <w:sz w:val="21"/>
                <w:szCs w:val="21"/>
                <w:lang w:val="en-US" w:eastAsia="zh-CN" w:bidi="zh-CN"/>
              </w:rPr>
              <w:t>（三）危害后果易于消除或者减轻</w:t>
            </w:r>
            <w:r>
              <w:rPr>
                <w:rFonts w:hint="eastAsia" w:cs="宋体"/>
                <w:kern w:val="0"/>
                <w:sz w:val="21"/>
                <w:szCs w:val="21"/>
                <w:lang w:val="en-US" w:eastAsia="zh-CN" w:bidi="zh-CN"/>
              </w:rPr>
              <w:t>；</w:t>
            </w:r>
          </w:p>
          <w:p>
            <w:pPr>
              <w:keepNext w:val="0"/>
              <w:keepLines w:val="0"/>
              <w:pageBreakBefore w:val="0"/>
              <w:widowControl/>
              <w:numPr>
                <w:ilvl w:val="0"/>
                <w:numId w:val="0"/>
              </w:numPr>
              <w:suppressLineNumbers w:val="0"/>
              <w:kinsoku/>
              <w:wordWrap/>
              <w:overflowPunct/>
              <w:topLinePunct w:val="0"/>
              <w:bidi w:val="0"/>
              <w:adjustRightInd/>
              <w:spacing w:line="240" w:lineRule="auto"/>
              <w:jc w:val="both"/>
              <w:rPr>
                <w:rFonts w:hint="eastAsia" w:ascii="宋体" w:hAnsi="宋体" w:eastAsia="宋体" w:cs="宋体"/>
                <w:b/>
                <w:bCs/>
                <w:color w:val="000000"/>
                <w:kern w:val="0"/>
                <w:sz w:val="21"/>
                <w:szCs w:val="21"/>
                <w:lang w:val="en-US" w:eastAsia="zh-CN" w:bidi="ar"/>
              </w:rPr>
            </w:pPr>
            <w:r>
              <w:rPr>
                <w:rFonts w:hint="default" w:ascii="宋体" w:hAnsi="宋体" w:eastAsia="宋体" w:cs="宋体"/>
                <w:kern w:val="0"/>
                <w:sz w:val="21"/>
                <w:szCs w:val="21"/>
                <w:lang w:val="en-US" w:eastAsia="zh-CN" w:bidi="zh-CN"/>
              </w:rPr>
              <w:t>（四）其他能够反映危害后果轻微的因素。</w:t>
            </w:r>
          </w:p>
          <w:p>
            <w:pPr>
              <w:keepNext w:val="0"/>
              <w:keepLines w:val="0"/>
              <w:pageBreakBefore w:val="0"/>
              <w:widowControl/>
              <w:numPr>
                <w:ilvl w:val="0"/>
                <w:numId w:val="0"/>
              </w:numPr>
              <w:suppressLineNumbers w:val="0"/>
              <w:kinsoku/>
              <w:wordWrap/>
              <w:overflowPunct/>
              <w:topLinePunct w:val="0"/>
              <w:bidi w:val="0"/>
              <w:adjustRightInd/>
              <w:spacing w:line="240" w:lineRule="auto"/>
              <w:jc w:val="both"/>
              <w:rPr>
                <w:rFonts w:hint="eastAsia" w:eastAsia="宋体"/>
                <w:sz w:val="21"/>
                <w:lang w:val="en-US" w:eastAsia="zh-CN"/>
              </w:rPr>
            </w:pPr>
            <w:r>
              <w:rPr>
                <w:rFonts w:hint="eastAsia" w:ascii="宋体" w:hAnsi="宋体" w:eastAsia="宋体" w:cs="宋体"/>
                <w:b/>
                <w:bCs/>
                <w:color w:val="000000"/>
                <w:kern w:val="0"/>
                <w:sz w:val="21"/>
                <w:szCs w:val="21"/>
                <w:lang w:val="en-US" w:eastAsia="zh-CN" w:bidi="ar"/>
              </w:rPr>
              <w:t>从</w:t>
            </w:r>
            <w:r>
              <w:rPr>
                <w:rFonts w:hint="eastAsia" w:cs="宋体"/>
                <w:b/>
                <w:bCs/>
                <w:color w:val="000000"/>
                <w:kern w:val="0"/>
                <w:sz w:val="21"/>
                <w:szCs w:val="21"/>
                <w:lang w:val="en-US" w:eastAsia="zh-CN" w:bidi="ar"/>
              </w:rPr>
              <w:t>重</w:t>
            </w:r>
            <w:r>
              <w:rPr>
                <w:rFonts w:hint="eastAsia" w:ascii="宋体" w:hAnsi="宋体" w:eastAsia="宋体" w:cs="宋体"/>
                <w:b/>
                <w:bCs/>
                <w:color w:val="000000"/>
                <w:kern w:val="0"/>
                <w:sz w:val="21"/>
                <w:szCs w:val="21"/>
                <w:lang w:val="en-US" w:eastAsia="zh-CN" w:bidi="ar"/>
              </w:rPr>
              <w:t>处罚考虑因素：</w:t>
            </w:r>
            <w:r>
              <w:rPr>
                <w:rFonts w:hint="eastAsia" w:ascii="宋体" w:hAnsi="宋体" w:eastAsia="宋体" w:cs="宋体"/>
                <w:kern w:val="0"/>
                <w:sz w:val="21"/>
                <w:szCs w:val="21"/>
                <w:lang w:val="en-US" w:eastAsia="zh-CN" w:bidi="zh-CN"/>
              </w:rPr>
              <w:t>造成人身伤害、重大财产损失或者恶劣社会影响等严重后果的</w:t>
            </w:r>
            <w:r>
              <w:rPr>
                <w:rFonts w:hint="eastAsia" w:cs="宋体"/>
                <w:kern w:val="0"/>
                <w:sz w:val="21"/>
                <w:szCs w:val="21"/>
                <w:lang w:val="en-US" w:eastAsia="zh-CN" w:bidi="zh-CN"/>
              </w:rPr>
              <w:t>。</w:t>
            </w:r>
          </w:p>
        </w:tc>
      </w:tr>
    </w:tbl>
    <w:p>
      <w:pPr>
        <w:pStyle w:val="11"/>
        <w:keepNext w:val="0"/>
        <w:keepLines w:val="0"/>
        <w:pageBreakBefore w:val="0"/>
        <w:widowControl w:val="0"/>
        <w:kinsoku/>
        <w:wordWrap/>
        <w:overflowPunct/>
        <w:topLinePunct w:val="0"/>
        <w:autoSpaceDE w:val="0"/>
        <w:autoSpaceDN w:val="0"/>
        <w:bidi w:val="0"/>
        <w:adjustRightInd/>
        <w:snapToGrid/>
        <w:spacing w:line="240" w:lineRule="auto"/>
        <w:ind w:right="0"/>
        <w:jc w:val="both"/>
        <w:textAlignment w:val="auto"/>
        <w:rPr>
          <w:rFonts w:hint="eastAsia" w:ascii="Microsoft JhengHei"/>
          <w:b/>
          <w:sz w:val="21"/>
          <w:lang w:val="en-US" w:eastAsia="zh-CN"/>
        </w:rPr>
      </w:pPr>
    </w:p>
    <w:p>
      <w:pPr>
        <w:pStyle w:val="11"/>
        <w:keepNext w:val="0"/>
        <w:keepLines w:val="0"/>
        <w:pageBreakBefore w:val="0"/>
        <w:widowControl w:val="0"/>
        <w:kinsoku/>
        <w:wordWrap/>
        <w:overflowPunct/>
        <w:topLinePunct w:val="0"/>
        <w:autoSpaceDE w:val="0"/>
        <w:autoSpaceDN w:val="0"/>
        <w:bidi w:val="0"/>
        <w:adjustRightInd/>
        <w:snapToGrid/>
        <w:spacing w:line="240" w:lineRule="auto"/>
        <w:ind w:right="0"/>
        <w:jc w:val="both"/>
        <w:textAlignment w:val="auto"/>
        <w:rPr>
          <w:rFonts w:hint="eastAsia" w:ascii="Microsoft JhengHei"/>
          <w:b/>
          <w:sz w:val="21"/>
          <w:lang w:val="en-US" w:eastAsia="zh-CN"/>
        </w:rPr>
        <w:sectPr>
          <w:pgSz w:w="16838" w:h="11906" w:orient="landscape"/>
          <w:pgMar w:top="1800" w:right="1440" w:bottom="1800" w:left="1440" w:header="851" w:footer="992" w:gutter="0"/>
          <w:pgNumType w:fmt="decimal"/>
          <w:cols w:space="720" w:num="1"/>
          <w:docGrid w:type="lines" w:linePitch="312" w:charSpace="0"/>
        </w:sectPr>
      </w:pPr>
    </w:p>
    <w:tbl>
      <w:tblPr>
        <w:tblStyle w:val="8"/>
        <w:tblpPr w:leftFromText="180" w:rightFromText="180" w:vertAnchor="page" w:horzAnchor="page" w:tblpX="1531" w:tblpY="1831"/>
        <w:tblOverlap w:val="never"/>
        <w:tblW w:w="506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22"/>
        <w:gridCol w:w="1612"/>
        <w:gridCol w:w="2808"/>
        <w:gridCol w:w="3083"/>
        <w:gridCol w:w="2947"/>
        <w:gridCol w:w="3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 w:hRule="atLeast"/>
        </w:trPr>
        <w:tc>
          <w:tcPr>
            <w:tcW w:w="220" w:type="pct"/>
            <w:vMerge w:val="restart"/>
            <w:tcBorders>
              <w:top w:val="single" w:color="auto" w:sz="4" w:space="0"/>
              <w:bottom w:val="nil"/>
              <w:right w:val="single" w:color="000000" w:sz="8" w:space="0"/>
            </w:tcBorders>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0" w:firstLineChars="0"/>
              <w:jc w:val="center"/>
              <w:textAlignment w:val="auto"/>
              <w:rPr>
                <w:rFonts w:hint="default" w:ascii="Microsoft JhengHei"/>
                <w:b/>
                <w:sz w:val="21"/>
                <w:lang w:val="en-US" w:eastAsia="zh-CN"/>
              </w:rPr>
            </w:pPr>
            <w:r>
              <w:rPr>
                <w:rFonts w:hint="eastAsia" w:ascii="Microsoft JhengHei"/>
                <w:b/>
                <w:sz w:val="21"/>
                <w:lang w:val="en-US" w:eastAsia="zh-CN"/>
              </w:rPr>
              <w:t>38</w:t>
            </w:r>
          </w:p>
        </w:tc>
        <w:tc>
          <w:tcPr>
            <w:tcW w:w="570" w:type="pct"/>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hint="eastAsia" w:ascii="Microsoft JhengHei"/>
                <w:b/>
                <w:sz w:val="21"/>
                <w:lang w:val="en-US" w:eastAsia="zh-CN"/>
              </w:rPr>
            </w:pPr>
            <w:r>
              <w:rPr>
                <w:rFonts w:hint="eastAsia" w:ascii="Microsoft JhengHei"/>
                <w:b/>
                <w:sz w:val="21"/>
                <w:lang w:val="en-US" w:eastAsia="zh-CN"/>
              </w:rPr>
              <w:t>裁量条款</w:t>
            </w:r>
          </w:p>
        </w:tc>
        <w:tc>
          <w:tcPr>
            <w:tcW w:w="4209" w:type="pct"/>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hint="eastAsia" w:ascii="Microsoft JhengHei"/>
                <w:b/>
                <w:sz w:val="21"/>
                <w:lang w:val="en-US" w:eastAsia="zh-CN"/>
              </w:rPr>
            </w:pPr>
            <w:r>
              <w:rPr>
                <w:rFonts w:hint="eastAsia" w:ascii="Microsoft JhengHei"/>
                <w:b/>
                <w:sz w:val="21"/>
                <w:lang w:val="en-US" w:eastAsia="zh-CN"/>
              </w:rPr>
              <w:t>第三十八条  本条是对《药品经营和使用质量监督管理办法》第七十三条“处</w:t>
            </w:r>
            <w:r>
              <w:rPr>
                <w:rFonts w:hint="eastAsia" w:ascii="Microsoft JhengHei" w:hAnsi="宋体" w:eastAsia="宋体" w:cs="宋体"/>
                <w:b/>
                <w:i w:val="0"/>
                <w:iCs w:val="0"/>
                <w:caps w:val="0"/>
                <w:spacing w:val="0"/>
                <w:sz w:val="21"/>
                <w:szCs w:val="22"/>
                <w:shd w:val="clear"/>
                <w:lang w:val="en-US"/>
              </w:rPr>
              <w:t>五千元以上五万元以下罚款</w:t>
            </w:r>
            <w:r>
              <w:rPr>
                <w:rFonts w:hint="eastAsia" w:ascii="Microsoft JhengHei"/>
                <w:b/>
                <w:sz w:val="21"/>
                <w:lang w:val="en-US" w:eastAsia="zh-CN"/>
              </w:rPr>
              <w:t>”裁量基准的规定。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20"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0" w:type="pct"/>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val="en-US" w:eastAsia="zh-CN"/>
              </w:rPr>
            </w:pPr>
            <w:r>
              <w:rPr>
                <w:rFonts w:hint="eastAsia" w:ascii="Microsoft JhengHei"/>
                <w:b/>
                <w:sz w:val="21"/>
                <w:lang w:val="en-US" w:eastAsia="zh-CN"/>
              </w:rPr>
              <w:t>关联法条</w:t>
            </w:r>
          </w:p>
        </w:tc>
        <w:tc>
          <w:tcPr>
            <w:tcW w:w="4209" w:type="pct"/>
            <w:gridSpan w:val="4"/>
            <w:tcBorders>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default" w:eastAsia="宋体"/>
                <w:sz w:val="21"/>
                <w:lang w:val="en-US" w:eastAsia="zh-CN"/>
              </w:rPr>
            </w:pPr>
            <w:r>
              <w:rPr>
                <w:rFonts w:hint="eastAsia"/>
                <w:sz w:val="21"/>
                <w:lang w:val="en-US" w:eastAsia="zh-CN"/>
              </w:rPr>
              <w:t xml:space="preserve">《药品经营和使用质量监督管理办法》第七十三条 </w:t>
            </w:r>
            <w:r>
              <w:rPr>
                <w:rFonts w:hint="eastAsia"/>
                <w:sz w:val="21"/>
                <w:lang w:val="en-US"/>
              </w:rPr>
              <w:t>医疗机构未按本办法第五十一条第二款规定设置专门质量管理部门或者人员、未按本办法第五十二条、第五十三条、第五十四条、第五十五条、第五十六条规定履行进货查验、药品储存和养护、停止使用、报告等义务的，由药品监督管理部门责令限期改正，并通报卫生健康主管部门；逾期不改正或者情节严重的，处五千元以上五万元以下罚款；造成严重后果的，处五万元以上二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20"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0"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eastAsia="zh-CN"/>
              </w:rPr>
            </w:pPr>
            <w:r>
              <w:rPr>
                <w:rFonts w:hint="eastAsia" w:ascii="Microsoft JhengHei"/>
                <w:b/>
                <w:sz w:val="21"/>
                <w:lang w:eastAsia="zh-CN"/>
              </w:rPr>
              <w:t>裁量等级</w:t>
            </w:r>
          </w:p>
        </w:tc>
        <w:tc>
          <w:tcPr>
            <w:tcW w:w="993"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减轻处罚幅度</w:t>
            </w:r>
          </w:p>
        </w:tc>
        <w:tc>
          <w:tcPr>
            <w:tcW w:w="1090"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从轻处罚幅度</w:t>
            </w:r>
          </w:p>
        </w:tc>
        <w:tc>
          <w:tcPr>
            <w:tcW w:w="1042"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一般处罚幅度</w:t>
            </w:r>
          </w:p>
        </w:tc>
        <w:tc>
          <w:tcPr>
            <w:tcW w:w="1084"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220"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0"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eastAsia="zh-CN"/>
              </w:rPr>
            </w:pPr>
            <w:r>
              <w:rPr>
                <w:rFonts w:hint="eastAsia" w:ascii="Microsoft JhengHei"/>
                <w:b/>
                <w:sz w:val="21"/>
                <w:lang w:eastAsia="zh-CN"/>
              </w:rPr>
              <w:t>裁量基准</w:t>
            </w:r>
          </w:p>
        </w:tc>
        <w:tc>
          <w:tcPr>
            <w:tcW w:w="993"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p>
        </w:tc>
        <w:tc>
          <w:tcPr>
            <w:tcW w:w="3083" w:type="dxa"/>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rightChars="0" w:firstLine="0" w:firstLineChars="0"/>
              <w:jc w:val="both"/>
              <w:textAlignment w:val="auto"/>
              <w:rPr>
                <w:rFonts w:hint="eastAsia"/>
                <w:sz w:val="21"/>
                <w:lang w:val="en-US" w:eastAsia="zh-CN"/>
              </w:rPr>
            </w:pPr>
            <w:r>
              <w:rPr>
                <w:rFonts w:hint="eastAsia"/>
                <w:sz w:val="21"/>
                <w:lang w:val="en-US" w:eastAsia="zh-CN"/>
              </w:rPr>
              <w:t>从轻行政处罚，处0.5万元至1.85万元的罚款。</w:t>
            </w:r>
          </w:p>
        </w:tc>
        <w:tc>
          <w:tcPr>
            <w:tcW w:w="2947" w:type="dxa"/>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rightChars="0" w:firstLine="0" w:firstLineChars="0"/>
              <w:jc w:val="both"/>
              <w:textAlignment w:val="auto"/>
              <w:rPr>
                <w:rFonts w:hint="eastAsia"/>
                <w:sz w:val="21"/>
                <w:lang w:val="en-US" w:eastAsia="zh-CN"/>
              </w:rPr>
            </w:pPr>
            <w:r>
              <w:rPr>
                <w:rFonts w:hint="eastAsia"/>
                <w:sz w:val="21"/>
                <w:lang w:val="en-US" w:eastAsia="zh-CN"/>
              </w:rPr>
              <w:t>一般行政处罚，处1.85万元以上3.65万元以下的罚款。</w:t>
            </w:r>
          </w:p>
        </w:tc>
        <w:tc>
          <w:tcPr>
            <w:tcW w:w="3066" w:type="dxa"/>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rightChars="0" w:firstLine="0" w:firstLineChars="0"/>
              <w:jc w:val="both"/>
              <w:textAlignment w:val="auto"/>
              <w:rPr>
                <w:rFonts w:hint="eastAsia"/>
                <w:sz w:val="21"/>
                <w:lang w:val="en-US" w:eastAsia="zh-CN"/>
              </w:rPr>
            </w:pPr>
            <w:r>
              <w:rPr>
                <w:rFonts w:hint="eastAsia"/>
                <w:sz w:val="21"/>
                <w:lang w:val="en-US" w:eastAsia="zh-CN"/>
              </w:rPr>
              <w:t>从重行政处罚，处3.65万元至5万元的罚款。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8" w:hRule="atLeast"/>
        </w:trPr>
        <w:tc>
          <w:tcPr>
            <w:tcW w:w="220"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0" w:type="pct"/>
            <w:tcBorders>
              <w:top w:val="single" w:color="000000" w:sz="8" w:space="0"/>
              <w:left w:val="single" w:color="000000" w:sz="8" w:space="0"/>
              <w:right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2" w:line="240" w:lineRule="exact"/>
              <w:ind w:left="17" w:leftChars="0" w:right="11" w:rightChars="0"/>
              <w:jc w:val="both"/>
              <w:textAlignment w:val="auto"/>
              <w:rPr>
                <w:rFonts w:hint="eastAsia" w:eastAsia="宋体"/>
                <w:lang w:val="en-US" w:eastAsia="zh-CN"/>
              </w:rPr>
            </w:pPr>
            <w:r>
              <w:rPr>
                <w:rFonts w:hint="eastAsia" w:ascii="Microsoft JhengHei" w:eastAsia="Microsoft JhengHei"/>
                <w:b/>
                <w:sz w:val="21"/>
                <w:lang w:val="en-US" w:eastAsia="zh-CN"/>
              </w:rPr>
              <w:t>裁量因素</w:t>
            </w:r>
            <w:r>
              <w:rPr>
                <w:rFonts w:hint="eastAsia" w:ascii="Microsoft JhengHei" w:eastAsia="Microsoft JhengHei"/>
                <w:b w:val="0"/>
                <w:bCs/>
                <w:sz w:val="21"/>
                <w:lang w:val="en-US" w:eastAsia="zh-CN"/>
              </w:rPr>
              <w:t>（是指在进行裁量时，除裁量规则规定的从轻、减轻、从重情形外，可以考虑的因素）</w:t>
            </w:r>
          </w:p>
        </w:tc>
        <w:tc>
          <w:tcPr>
            <w:tcW w:w="4209" w:type="pct"/>
            <w:gridSpan w:val="4"/>
            <w:tcBorders>
              <w:top w:val="single" w:color="000000" w:sz="8" w:space="0"/>
              <w:left w:val="single" w:color="auto" w:sz="4" w:space="0"/>
              <w:bottom w:val="single" w:color="auto" w:sz="4" w:space="0"/>
              <w:right w:val="single" w:color="000000" w:sz="8" w:space="0"/>
            </w:tcBorders>
            <w:noWrap w:val="0"/>
            <w:vAlign w:val="center"/>
          </w:tcPr>
          <w:p>
            <w:pPr>
              <w:keepNext w:val="0"/>
              <w:keepLines w:val="0"/>
              <w:pageBreakBefore w:val="0"/>
              <w:widowControl/>
              <w:numPr>
                <w:ilvl w:val="0"/>
                <w:numId w:val="0"/>
              </w:numPr>
              <w:suppressLineNumbers w:val="0"/>
              <w:kinsoku/>
              <w:wordWrap/>
              <w:overflowPunct/>
              <w:topLinePunct w:val="0"/>
              <w:bidi w:val="0"/>
              <w:adjustRightInd/>
              <w:spacing w:line="240" w:lineRule="auto"/>
              <w:jc w:val="both"/>
              <w:rPr>
                <w:rFonts w:hint="eastAsia" w:eastAsia="宋体"/>
                <w:sz w:val="21"/>
                <w:lang w:val="en-US" w:eastAsia="zh-CN"/>
              </w:rPr>
            </w:pPr>
          </w:p>
        </w:tc>
      </w:tr>
    </w:tbl>
    <w:p>
      <w:pPr>
        <w:pStyle w:val="11"/>
        <w:keepNext w:val="0"/>
        <w:keepLines w:val="0"/>
        <w:pageBreakBefore w:val="0"/>
        <w:widowControl w:val="0"/>
        <w:kinsoku/>
        <w:wordWrap/>
        <w:overflowPunct/>
        <w:topLinePunct w:val="0"/>
        <w:autoSpaceDE w:val="0"/>
        <w:autoSpaceDN w:val="0"/>
        <w:bidi w:val="0"/>
        <w:adjustRightInd/>
        <w:snapToGrid/>
        <w:spacing w:line="240" w:lineRule="auto"/>
        <w:ind w:right="0"/>
        <w:jc w:val="both"/>
        <w:textAlignment w:val="auto"/>
        <w:rPr>
          <w:rFonts w:hint="eastAsia" w:ascii="Microsoft JhengHei"/>
          <w:b/>
          <w:sz w:val="21"/>
          <w:lang w:val="en-US" w:eastAsia="zh-CN"/>
        </w:rPr>
        <w:sectPr>
          <w:pgSz w:w="16838" w:h="11906" w:orient="landscape"/>
          <w:pgMar w:top="1800" w:right="1440" w:bottom="1800" w:left="1440" w:header="851" w:footer="992" w:gutter="0"/>
          <w:pgNumType w:fmt="decimal"/>
          <w:cols w:space="720" w:num="1"/>
          <w:docGrid w:type="lines" w:linePitch="312" w:charSpace="0"/>
        </w:sectPr>
      </w:pPr>
    </w:p>
    <w:tbl>
      <w:tblPr>
        <w:tblStyle w:val="8"/>
        <w:tblpPr w:leftFromText="180" w:rightFromText="180" w:vertAnchor="page" w:horzAnchor="page" w:tblpX="1531" w:tblpY="1831"/>
        <w:tblOverlap w:val="never"/>
        <w:tblW w:w="506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22"/>
        <w:gridCol w:w="1612"/>
        <w:gridCol w:w="2808"/>
        <w:gridCol w:w="3083"/>
        <w:gridCol w:w="2947"/>
        <w:gridCol w:w="3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 w:hRule="atLeast"/>
        </w:trPr>
        <w:tc>
          <w:tcPr>
            <w:tcW w:w="220" w:type="pct"/>
            <w:vMerge w:val="restart"/>
            <w:tcBorders>
              <w:top w:val="single" w:color="auto" w:sz="4" w:space="0"/>
              <w:bottom w:val="nil"/>
              <w:right w:val="single" w:color="000000" w:sz="8" w:space="0"/>
            </w:tcBorders>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0" w:firstLineChars="0"/>
              <w:jc w:val="center"/>
              <w:textAlignment w:val="auto"/>
              <w:rPr>
                <w:rFonts w:hint="default" w:ascii="Microsoft JhengHei"/>
                <w:b/>
                <w:sz w:val="21"/>
                <w:lang w:val="en-US" w:eastAsia="zh-CN"/>
              </w:rPr>
            </w:pPr>
            <w:r>
              <w:rPr>
                <w:rFonts w:hint="eastAsia" w:ascii="Microsoft JhengHei"/>
                <w:b/>
                <w:sz w:val="21"/>
                <w:lang w:val="en-US" w:eastAsia="zh-CN"/>
              </w:rPr>
              <w:t>39</w:t>
            </w:r>
          </w:p>
        </w:tc>
        <w:tc>
          <w:tcPr>
            <w:tcW w:w="570" w:type="pct"/>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hint="eastAsia" w:ascii="Microsoft JhengHei"/>
                <w:b/>
                <w:sz w:val="21"/>
                <w:lang w:val="en-US" w:eastAsia="zh-CN"/>
              </w:rPr>
            </w:pPr>
            <w:r>
              <w:rPr>
                <w:rFonts w:hint="eastAsia" w:ascii="Microsoft JhengHei"/>
                <w:b/>
                <w:sz w:val="21"/>
                <w:lang w:val="en-US" w:eastAsia="zh-CN"/>
              </w:rPr>
              <w:t>裁量条款</w:t>
            </w:r>
          </w:p>
        </w:tc>
        <w:tc>
          <w:tcPr>
            <w:tcW w:w="4209" w:type="pct"/>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hint="eastAsia" w:ascii="Microsoft JhengHei"/>
                <w:b/>
                <w:sz w:val="21"/>
                <w:lang w:val="en-US" w:eastAsia="zh-CN"/>
              </w:rPr>
            </w:pPr>
            <w:r>
              <w:rPr>
                <w:rFonts w:hint="eastAsia" w:ascii="Microsoft JhengHei"/>
                <w:b/>
                <w:sz w:val="21"/>
                <w:lang w:val="en-US" w:eastAsia="zh-CN"/>
              </w:rPr>
              <w:t>第三十九条  本条是对《药品经营和使用质量监督管理办法》第七十三条“</w:t>
            </w:r>
            <w:r>
              <w:rPr>
                <w:rFonts w:hint="eastAsia" w:ascii="Microsoft JhengHei"/>
                <w:b/>
                <w:sz w:val="21"/>
                <w:lang w:val="en-US"/>
              </w:rPr>
              <w:t>处五万元以上二十万元以下罚款</w:t>
            </w:r>
            <w:r>
              <w:rPr>
                <w:rFonts w:hint="eastAsia" w:ascii="Microsoft JhengHei"/>
                <w:b/>
                <w:sz w:val="21"/>
                <w:lang w:val="en-US" w:eastAsia="zh-CN"/>
              </w:rPr>
              <w:t>”裁量基准的规定。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20"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0" w:type="pct"/>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val="en-US" w:eastAsia="zh-CN"/>
              </w:rPr>
            </w:pPr>
            <w:r>
              <w:rPr>
                <w:rFonts w:hint="eastAsia" w:ascii="Microsoft JhengHei"/>
                <w:b/>
                <w:sz w:val="21"/>
                <w:lang w:val="en-US" w:eastAsia="zh-CN"/>
              </w:rPr>
              <w:t>关联法条</w:t>
            </w:r>
          </w:p>
        </w:tc>
        <w:tc>
          <w:tcPr>
            <w:tcW w:w="4209" w:type="pct"/>
            <w:gridSpan w:val="4"/>
            <w:tcBorders>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default" w:eastAsia="宋体"/>
                <w:sz w:val="21"/>
                <w:lang w:val="en-US" w:eastAsia="zh-CN"/>
              </w:rPr>
            </w:pPr>
            <w:r>
              <w:rPr>
                <w:rFonts w:hint="eastAsia"/>
                <w:sz w:val="21"/>
                <w:lang w:val="en-US" w:eastAsia="zh-CN"/>
              </w:rPr>
              <w:t xml:space="preserve">《药品经营和使用质量监督管理办法》第七十三条 </w:t>
            </w:r>
            <w:r>
              <w:rPr>
                <w:rFonts w:hint="eastAsia"/>
                <w:sz w:val="21"/>
                <w:lang w:val="en-US"/>
              </w:rPr>
              <w:t>（详见本基准第三十</w:t>
            </w:r>
            <w:r>
              <w:rPr>
                <w:rFonts w:hint="eastAsia"/>
                <w:sz w:val="21"/>
                <w:lang w:val="en-US" w:eastAsia="zh-CN"/>
              </w:rPr>
              <w:t>八</w:t>
            </w:r>
            <w:r>
              <w:rPr>
                <w:rFonts w:hint="eastAsia"/>
                <w:sz w:val="21"/>
                <w:lang w:val="en-US"/>
              </w:rPr>
              <w:t>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20"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0"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eastAsia="zh-CN"/>
              </w:rPr>
            </w:pPr>
            <w:r>
              <w:rPr>
                <w:rFonts w:hint="eastAsia" w:ascii="Microsoft JhengHei"/>
                <w:b/>
                <w:sz w:val="21"/>
                <w:lang w:eastAsia="zh-CN"/>
              </w:rPr>
              <w:t>裁量等级</w:t>
            </w:r>
          </w:p>
        </w:tc>
        <w:tc>
          <w:tcPr>
            <w:tcW w:w="993"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减轻处罚幅度</w:t>
            </w:r>
          </w:p>
        </w:tc>
        <w:tc>
          <w:tcPr>
            <w:tcW w:w="1090"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从轻处罚幅度</w:t>
            </w:r>
          </w:p>
        </w:tc>
        <w:tc>
          <w:tcPr>
            <w:tcW w:w="1042"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一般处罚幅度</w:t>
            </w:r>
          </w:p>
        </w:tc>
        <w:tc>
          <w:tcPr>
            <w:tcW w:w="1084"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220"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0"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eastAsia="zh-CN"/>
              </w:rPr>
            </w:pPr>
            <w:r>
              <w:rPr>
                <w:rFonts w:hint="eastAsia" w:ascii="Microsoft JhengHei"/>
                <w:b/>
                <w:sz w:val="21"/>
                <w:lang w:eastAsia="zh-CN"/>
              </w:rPr>
              <w:t>裁量基准</w:t>
            </w:r>
          </w:p>
        </w:tc>
        <w:tc>
          <w:tcPr>
            <w:tcW w:w="993"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p>
        </w:tc>
        <w:tc>
          <w:tcPr>
            <w:tcW w:w="3083" w:type="dxa"/>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rightChars="0" w:firstLine="0" w:firstLineChars="0"/>
              <w:jc w:val="both"/>
              <w:textAlignment w:val="auto"/>
              <w:rPr>
                <w:rFonts w:hint="eastAsia"/>
                <w:sz w:val="21"/>
                <w:lang w:val="en-US" w:eastAsia="zh-CN"/>
              </w:rPr>
            </w:pPr>
            <w:r>
              <w:rPr>
                <w:rFonts w:hint="eastAsia"/>
                <w:sz w:val="21"/>
                <w:lang w:val="en-US" w:eastAsia="zh-CN"/>
              </w:rPr>
              <w:t>从轻行政处罚，处5万元至9.5万元的罚款。</w:t>
            </w:r>
          </w:p>
        </w:tc>
        <w:tc>
          <w:tcPr>
            <w:tcW w:w="2947" w:type="dxa"/>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rightChars="0" w:firstLine="0" w:firstLineChars="0"/>
              <w:jc w:val="both"/>
              <w:textAlignment w:val="auto"/>
              <w:rPr>
                <w:rFonts w:hint="eastAsia"/>
                <w:sz w:val="21"/>
                <w:lang w:val="en-US" w:eastAsia="zh-CN"/>
              </w:rPr>
            </w:pPr>
            <w:r>
              <w:rPr>
                <w:rFonts w:hint="eastAsia"/>
                <w:sz w:val="21"/>
                <w:lang w:val="en-US" w:eastAsia="zh-CN"/>
              </w:rPr>
              <w:t>一般行政处罚，处9.5万元以上15.5万元以下的罚款。</w:t>
            </w:r>
          </w:p>
        </w:tc>
        <w:tc>
          <w:tcPr>
            <w:tcW w:w="3066" w:type="dxa"/>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rightChars="0" w:firstLine="0" w:firstLineChars="0"/>
              <w:jc w:val="both"/>
              <w:textAlignment w:val="auto"/>
              <w:rPr>
                <w:rFonts w:hint="eastAsia"/>
                <w:sz w:val="21"/>
                <w:lang w:val="en-US" w:eastAsia="zh-CN"/>
              </w:rPr>
            </w:pPr>
            <w:r>
              <w:rPr>
                <w:rFonts w:hint="eastAsia"/>
                <w:sz w:val="21"/>
                <w:lang w:val="en-US" w:eastAsia="zh-CN"/>
              </w:rPr>
              <w:t>从重行政处罚，处15.5万元至20万元的罚款。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8" w:hRule="atLeast"/>
        </w:trPr>
        <w:tc>
          <w:tcPr>
            <w:tcW w:w="220"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0" w:type="pct"/>
            <w:tcBorders>
              <w:top w:val="single" w:color="000000" w:sz="8" w:space="0"/>
              <w:left w:val="single" w:color="000000" w:sz="8" w:space="0"/>
              <w:right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2" w:line="240" w:lineRule="exact"/>
              <w:ind w:left="17" w:leftChars="0" w:right="11" w:rightChars="0"/>
              <w:jc w:val="both"/>
              <w:textAlignment w:val="auto"/>
              <w:rPr>
                <w:rFonts w:hint="eastAsia" w:eastAsia="宋体"/>
                <w:lang w:val="en-US" w:eastAsia="zh-CN"/>
              </w:rPr>
            </w:pPr>
            <w:r>
              <w:rPr>
                <w:rFonts w:hint="eastAsia" w:ascii="Microsoft JhengHei" w:eastAsia="Microsoft JhengHei"/>
                <w:b/>
                <w:sz w:val="21"/>
                <w:lang w:val="en-US" w:eastAsia="zh-CN"/>
              </w:rPr>
              <w:t>裁量因素</w:t>
            </w:r>
            <w:r>
              <w:rPr>
                <w:rFonts w:hint="eastAsia" w:ascii="Microsoft JhengHei" w:eastAsia="Microsoft JhengHei"/>
                <w:b w:val="0"/>
                <w:bCs/>
                <w:sz w:val="21"/>
                <w:lang w:val="en-US" w:eastAsia="zh-CN"/>
              </w:rPr>
              <w:t>（是指在进行裁量时，除裁量规则规定的从轻、减轻、从重情形外，可以考虑的因素）</w:t>
            </w:r>
          </w:p>
        </w:tc>
        <w:tc>
          <w:tcPr>
            <w:tcW w:w="4209" w:type="pct"/>
            <w:gridSpan w:val="4"/>
            <w:tcBorders>
              <w:top w:val="single" w:color="000000" w:sz="8" w:space="0"/>
              <w:left w:val="single" w:color="auto" w:sz="4" w:space="0"/>
              <w:bottom w:val="single" w:color="auto" w:sz="4" w:space="0"/>
              <w:right w:val="single" w:color="000000" w:sz="8" w:space="0"/>
            </w:tcBorders>
            <w:noWrap w:val="0"/>
            <w:vAlign w:val="center"/>
          </w:tcPr>
          <w:p>
            <w:pPr>
              <w:keepNext w:val="0"/>
              <w:keepLines w:val="0"/>
              <w:pageBreakBefore w:val="0"/>
              <w:widowControl/>
              <w:numPr>
                <w:ilvl w:val="0"/>
                <w:numId w:val="0"/>
              </w:numPr>
              <w:suppressLineNumbers w:val="0"/>
              <w:kinsoku/>
              <w:wordWrap/>
              <w:overflowPunct/>
              <w:topLinePunct w:val="0"/>
              <w:bidi w:val="0"/>
              <w:adjustRightInd/>
              <w:spacing w:line="240" w:lineRule="auto"/>
              <w:jc w:val="both"/>
              <w:rPr>
                <w:rFonts w:hint="eastAsia" w:eastAsia="宋体"/>
                <w:sz w:val="21"/>
                <w:lang w:val="en-US" w:eastAsia="zh-CN"/>
              </w:rPr>
            </w:pPr>
          </w:p>
        </w:tc>
      </w:tr>
    </w:tbl>
    <w:p>
      <w:pPr>
        <w:pStyle w:val="11"/>
        <w:keepNext w:val="0"/>
        <w:keepLines w:val="0"/>
        <w:pageBreakBefore w:val="0"/>
        <w:widowControl w:val="0"/>
        <w:kinsoku/>
        <w:wordWrap/>
        <w:overflowPunct/>
        <w:topLinePunct w:val="0"/>
        <w:autoSpaceDE w:val="0"/>
        <w:autoSpaceDN w:val="0"/>
        <w:bidi w:val="0"/>
        <w:adjustRightInd/>
        <w:snapToGrid/>
        <w:spacing w:line="240" w:lineRule="auto"/>
        <w:ind w:right="0"/>
        <w:jc w:val="both"/>
        <w:textAlignment w:val="auto"/>
        <w:rPr>
          <w:rFonts w:hint="eastAsia" w:ascii="Microsoft JhengHei"/>
          <w:b/>
          <w:sz w:val="21"/>
          <w:lang w:val="en-US" w:eastAsia="zh-CN"/>
        </w:rPr>
        <w:sectPr>
          <w:pgSz w:w="16838" w:h="11906" w:orient="landscape"/>
          <w:pgMar w:top="1800" w:right="1440" w:bottom="1800" w:left="1440" w:header="851" w:footer="992" w:gutter="0"/>
          <w:pgNumType w:fmt="decimal"/>
          <w:cols w:space="720" w:num="1"/>
          <w:docGrid w:type="lines" w:linePitch="312" w:charSpace="0"/>
        </w:sectPr>
      </w:pPr>
    </w:p>
    <w:tbl>
      <w:tblPr>
        <w:tblStyle w:val="8"/>
        <w:tblW w:w="5066"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0"/>
        <w:gridCol w:w="1583"/>
        <w:gridCol w:w="2812"/>
        <w:gridCol w:w="3094"/>
        <w:gridCol w:w="2959"/>
        <w:gridCol w:w="3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19" w:type="pct"/>
            <w:vMerge w:val="restart"/>
            <w:tcBorders>
              <w:top w:val="single" w:color="auto" w:sz="4" w:space="0"/>
              <w:bottom w:val="nil"/>
              <w:right w:val="single" w:color="000000" w:sz="8" w:space="0"/>
            </w:tcBorders>
            <w:noWrap w:val="0"/>
            <w:vAlign w:val="center"/>
          </w:tcPr>
          <w:p>
            <w:pPr>
              <w:pStyle w:val="11"/>
              <w:ind w:left="14"/>
              <w:jc w:val="center"/>
              <w:rPr>
                <w:rFonts w:hint="default" w:eastAsia="宋体"/>
                <w:b/>
                <w:sz w:val="21"/>
                <w:lang w:val="en-US" w:eastAsia="zh-CN"/>
              </w:rPr>
            </w:pPr>
            <w:r>
              <w:rPr>
                <w:rFonts w:hint="eastAsia"/>
                <w:b/>
                <w:sz w:val="21"/>
                <w:lang w:val="en-US" w:eastAsia="zh-CN"/>
              </w:rPr>
              <w:t>40</w:t>
            </w:r>
          </w:p>
        </w:tc>
        <w:tc>
          <w:tcPr>
            <w:tcW w:w="559" w:type="pct"/>
            <w:noWrap w:val="0"/>
            <w:vAlign w:val="center"/>
          </w:tcPr>
          <w:p>
            <w:pPr>
              <w:pStyle w:val="11"/>
              <w:spacing w:line="247" w:lineRule="exact"/>
              <w:jc w:val="center"/>
              <w:rPr>
                <w:rFonts w:hint="eastAsia" w:ascii="Microsoft JhengHei" w:eastAsia="宋体"/>
                <w:b/>
                <w:sz w:val="21"/>
                <w:lang w:eastAsia="zh-CN"/>
              </w:rPr>
            </w:pPr>
            <w:r>
              <w:rPr>
                <w:rFonts w:hint="eastAsia" w:ascii="Microsoft JhengHei"/>
                <w:b/>
                <w:sz w:val="21"/>
                <w:lang w:eastAsia="zh-CN"/>
              </w:rPr>
              <w:t>裁量条款</w:t>
            </w:r>
          </w:p>
        </w:tc>
        <w:tc>
          <w:tcPr>
            <w:tcW w:w="4221" w:type="pct"/>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ascii="Microsoft JhengHei"/>
                <w:b/>
                <w:sz w:val="21"/>
                <w:lang w:val="en-US"/>
              </w:rPr>
            </w:pPr>
            <w:r>
              <w:rPr>
                <w:rFonts w:hint="eastAsia" w:ascii="Microsoft JhengHei"/>
                <w:b/>
                <w:sz w:val="21"/>
                <w:lang w:val="en-US" w:eastAsia="zh-CN"/>
              </w:rPr>
              <w:t>第四十条  本条是对《麻醉药品和精神药品管理条例》第六十六条“处5万元以上10万元以下的罚款”裁量基准的规定。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19" w:type="pct"/>
            <w:vMerge w:val="continue"/>
            <w:tcBorders>
              <w:right w:val="single" w:color="000000" w:sz="8" w:space="0"/>
            </w:tcBorders>
            <w:noWrap w:val="0"/>
            <w:vAlign w:val="top"/>
          </w:tcPr>
          <w:p>
            <w:pPr>
              <w:jc w:val="center"/>
              <w:rPr>
                <w:sz w:val="2"/>
                <w:szCs w:val="2"/>
              </w:rPr>
            </w:pPr>
          </w:p>
        </w:tc>
        <w:tc>
          <w:tcPr>
            <w:tcW w:w="559" w:type="pct"/>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val="en-US" w:eastAsia="zh-CN"/>
              </w:rPr>
            </w:pPr>
            <w:r>
              <w:rPr>
                <w:rFonts w:hint="eastAsia" w:ascii="Microsoft JhengHei"/>
                <w:b/>
                <w:sz w:val="21"/>
                <w:lang w:val="en-US" w:eastAsia="zh-CN"/>
              </w:rPr>
              <w:t>关联法条</w:t>
            </w:r>
          </w:p>
        </w:tc>
        <w:tc>
          <w:tcPr>
            <w:tcW w:w="4221" w:type="pct"/>
            <w:gridSpan w:val="4"/>
            <w:tcBorders>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line="288" w:lineRule="auto"/>
              <w:ind w:right="0" w:firstLine="420" w:firstLineChars="200"/>
              <w:jc w:val="both"/>
              <w:textAlignment w:val="auto"/>
              <w:rPr>
                <w:rFonts w:hint="default"/>
                <w:sz w:val="21"/>
                <w:lang w:val="en-US" w:eastAsia="zh-CN"/>
              </w:rPr>
            </w:pPr>
            <w:r>
              <w:rPr>
                <w:rFonts w:hint="eastAsia"/>
                <w:sz w:val="21"/>
                <w:lang w:val="en-US" w:eastAsia="zh-CN"/>
              </w:rPr>
              <w:t xml:space="preserve">《麻醉药品和精神药品管理条例》第六十六条 </w:t>
            </w:r>
            <w:r>
              <w:rPr>
                <w:rFonts w:hint="default"/>
                <w:sz w:val="21"/>
                <w:lang w:val="en-US" w:eastAsia="zh-CN"/>
              </w:rPr>
              <w:t>麻醉药品药用原植物种植企业违反本条例的规定，有下列情形之一的，由药品监督管理部门责令限期改正，给予警告；逾期不改正的，处5万元以上10万元以下的罚款；情节严重的，取消其种植资格：</w:t>
            </w:r>
          </w:p>
          <w:p>
            <w:pPr>
              <w:pStyle w:val="11"/>
              <w:keepNext w:val="0"/>
              <w:keepLines w:val="0"/>
              <w:pageBreakBefore w:val="0"/>
              <w:widowControl w:val="0"/>
              <w:kinsoku/>
              <w:wordWrap/>
              <w:overflowPunct/>
              <w:topLinePunct w:val="0"/>
              <w:autoSpaceDE w:val="0"/>
              <w:autoSpaceDN w:val="0"/>
              <w:bidi w:val="0"/>
              <w:adjustRightInd/>
              <w:snapToGrid/>
              <w:spacing w:line="288" w:lineRule="auto"/>
              <w:ind w:right="0" w:firstLine="420" w:firstLineChars="200"/>
              <w:jc w:val="both"/>
              <w:textAlignment w:val="auto"/>
              <w:rPr>
                <w:rFonts w:hint="default"/>
                <w:sz w:val="21"/>
                <w:lang w:val="en-US" w:eastAsia="zh-CN"/>
              </w:rPr>
            </w:pPr>
            <w:r>
              <w:rPr>
                <w:rFonts w:hint="default"/>
                <w:sz w:val="21"/>
                <w:lang w:val="en-US" w:eastAsia="zh-CN"/>
              </w:rPr>
              <w:t>(一)未依照麻醉药品药用原植物年度种植计划进行种植的；</w:t>
            </w:r>
          </w:p>
          <w:p>
            <w:pPr>
              <w:pStyle w:val="11"/>
              <w:keepNext w:val="0"/>
              <w:keepLines w:val="0"/>
              <w:pageBreakBefore w:val="0"/>
              <w:widowControl w:val="0"/>
              <w:kinsoku/>
              <w:wordWrap/>
              <w:overflowPunct/>
              <w:topLinePunct w:val="0"/>
              <w:autoSpaceDE w:val="0"/>
              <w:autoSpaceDN w:val="0"/>
              <w:bidi w:val="0"/>
              <w:adjustRightInd/>
              <w:snapToGrid/>
              <w:spacing w:line="288" w:lineRule="auto"/>
              <w:ind w:right="0" w:firstLine="420" w:firstLineChars="200"/>
              <w:jc w:val="both"/>
              <w:textAlignment w:val="auto"/>
              <w:rPr>
                <w:rFonts w:hint="default"/>
                <w:sz w:val="21"/>
                <w:lang w:val="en-US" w:eastAsia="zh-CN"/>
              </w:rPr>
            </w:pPr>
            <w:r>
              <w:rPr>
                <w:rFonts w:hint="default"/>
                <w:sz w:val="21"/>
                <w:lang w:val="en-US" w:eastAsia="zh-CN"/>
              </w:rPr>
              <w:t>(二)未依照规定报告种植情况的；</w:t>
            </w:r>
          </w:p>
          <w:p>
            <w:pPr>
              <w:pStyle w:val="11"/>
              <w:keepNext w:val="0"/>
              <w:keepLines w:val="0"/>
              <w:pageBreakBefore w:val="0"/>
              <w:widowControl w:val="0"/>
              <w:kinsoku/>
              <w:wordWrap/>
              <w:overflowPunct/>
              <w:topLinePunct w:val="0"/>
              <w:autoSpaceDE w:val="0"/>
              <w:autoSpaceDN w:val="0"/>
              <w:bidi w:val="0"/>
              <w:adjustRightInd/>
              <w:snapToGrid/>
              <w:spacing w:after="157" w:afterLines="50" w:line="288" w:lineRule="auto"/>
              <w:ind w:right="0" w:firstLine="420" w:firstLineChars="200"/>
              <w:jc w:val="both"/>
              <w:textAlignment w:val="auto"/>
              <w:rPr>
                <w:rFonts w:hint="eastAsia"/>
                <w:sz w:val="21"/>
              </w:rPr>
            </w:pPr>
            <w:r>
              <w:rPr>
                <w:rFonts w:hint="default"/>
                <w:sz w:val="21"/>
                <w:lang w:val="en-US" w:eastAsia="zh-CN"/>
              </w:rPr>
              <w:t>(三)未依照规定储存麻醉药品的。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219" w:type="pct"/>
            <w:vMerge w:val="continue"/>
            <w:tcBorders>
              <w:right w:val="single" w:color="000000" w:sz="8" w:space="0"/>
            </w:tcBorders>
            <w:noWrap w:val="0"/>
            <w:vAlign w:val="top"/>
          </w:tcPr>
          <w:p>
            <w:pPr>
              <w:jc w:val="center"/>
              <w:rPr>
                <w:sz w:val="2"/>
                <w:szCs w:val="2"/>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eastAsia="zh-CN"/>
              </w:rPr>
            </w:pPr>
            <w:r>
              <w:rPr>
                <w:rFonts w:hint="eastAsia" w:ascii="Microsoft JhengHei"/>
                <w:b/>
                <w:sz w:val="21"/>
                <w:lang w:eastAsia="zh-CN"/>
              </w:rPr>
              <w:t>裁量等级</w:t>
            </w:r>
          </w:p>
        </w:tc>
        <w:tc>
          <w:tcPr>
            <w:tcW w:w="993"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减轻处罚幅度</w:t>
            </w:r>
          </w:p>
        </w:tc>
        <w:tc>
          <w:tcPr>
            <w:tcW w:w="1092"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从轻处罚幅度</w:t>
            </w:r>
          </w:p>
        </w:tc>
        <w:tc>
          <w:tcPr>
            <w:tcW w:w="1045" w:type="pct"/>
            <w:tcBorders>
              <w:top w:val="single" w:color="000000" w:sz="8" w:space="0"/>
              <w:left w:val="single" w:color="000000" w:sz="8" w:space="0"/>
              <w:bottom w:val="single" w:color="000000" w:sz="8" w:space="0"/>
              <w:right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一般处罚幅度</w:t>
            </w:r>
          </w:p>
        </w:tc>
        <w:tc>
          <w:tcPr>
            <w:tcW w:w="1089" w:type="pct"/>
            <w:tcBorders>
              <w:top w:val="single" w:color="000000" w:sz="8" w:space="0"/>
              <w:left w:val="single" w:color="auto" w:sz="4"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19" w:type="pct"/>
            <w:vMerge w:val="continue"/>
            <w:tcBorders>
              <w:right w:val="single" w:color="000000" w:sz="8" w:space="0"/>
            </w:tcBorders>
            <w:noWrap w:val="0"/>
            <w:vAlign w:val="top"/>
          </w:tcPr>
          <w:p>
            <w:pPr>
              <w:jc w:val="center"/>
              <w:rPr>
                <w:sz w:val="2"/>
                <w:szCs w:val="2"/>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eastAsia="zh-CN"/>
              </w:rPr>
            </w:pPr>
            <w:r>
              <w:rPr>
                <w:rFonts w:hint="eastAsia" w:ascii="Microsoft JhengHei"/>
                <w:b/>
                <w:sz w:val="21"/>
                <w:lang w:eastAsia="zh-CN"/>
              </w:rPr>
              <w:t>裁量基准</w:t>
            </w:r>
          </w:p>
        </w:tc>
        <w:tc>
          <w:tcPr>
            <w:tcW w:w="993"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p>
        </w:tc>
        <w:tc>
          <w:tcPr>
            <w:tcW w:w="1092"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从轻行政处罚，处5万元至6.5万元的罚款。</w:t>
            </w:r>
          </w:p>
        </w:tc>
        <w:tc>
          <w:tcPr>
            <w:tcW w:w="1045" w:type="pct"/>
            <w:tcBorders>
              <w:top w:val="single" w:color="000000" w:sz="8" w:space="0"/>
              <w:left w:val="single" w:color="000000" w:sz="8" w:space="0"/>
              <w:bottom w:val="single" w:color="000000" w:sz="8" w:space="0"/>
              <w:right w:val="single" w:color="auto"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一般行政处罚，处6.5万元以上8.5万元以下的罚款。</w:t>
            </w:r>
          </w:p>
        </w:tc>
        <w:tc>
          <w:tcPr>
            <w:tcW w:w="1089" w:type="pct"/>
            <w:tcBorders>
              <w:top w:val="single" w:color="000000" w:sz="8" w:space="0"/>
              <w:left w:val="single" w:color="auto" w:sz="4"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从重行政处罚，处8.5万元至10万元的罚款。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19" w:type="pct"/>
            <w:vMerge w:val="continue"/>
            <w:tcBorders>
              <w:right w:val="single" w:color="000000" w:sz="8" w:space="0"/>
            </w:tcBorders>
            <w:noWrap w:val="0"/>
            <w:vAlign w:val="top"/>
          </w:tcPr>
          <w:p>
            <w:pPr>
              <w:jc w:val="center"/>
              <w:rPr>
                <w:sz w:val="2"/>
                <w:szCs w:val="2"/>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2" w:line="240" w:lineRule="exact"/>
              <w:ind w:left="17" w:leftChars="0" w:right="11" w:rightChars="0"/>
              <w:jc w:val="both"/>
              <w:textAlignment w:val="auto"/>
              <w:rPr>
                <w:rFonts w:hint="eastAsia" w:ascii="Microsoft JhengHei" w:eastAsia="Microsoft JhengHei"/>
                <w:b/>
                <w:sz w:val="21"/>
              </w:rPr>
            </w:pPr>
            <w:r>
              <w:rPr>
                <w:rFonts w:hint="eastAsia" w:ascii="Microsoft JhengHei" w:eastAsia="Microsoft JhengHei"/>
                <w:b/>
                <w:sz w:val="21"/>
                <w:lang w:val="en-US" w:eastAsia="zh-CN"/>
              </w:rPr>
              <w:t>裁量因素</w:t>
            </w:r>
            <w:r>
              <w:rPr>
                <w:rFonts w:hint="eastAsia" w:ascii="Microsoft JhengHei" w:eastAsia="Microsoft JhengHei"/>
                <w:b w:val="0"/>
                <w:bCs/>
                <w:sz w:val="21"/>
                <w:lang w:val="en-US" w:eastAsia="zh-CN"/>
              </w:rPr>
              <w:t>（是指在进行裁量时，除裁量规则规定的从轻、减轻、从重情形外，可以考虑的因素）</w:t>
            </w:r>
          </w:p>
        </w:tc>
        <w:tc>
          <w:tcPr>
            <w:tcW w:w="4221" w:type="pct"/>
            <w:gridSpan w:val="4"/>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0"/>
                <w:szCs w:val="20"/>
                <w:lang w:val="en-US" w:eastAsia="zh-CN" w:bidi="ar"/>
              </w:rPr>
              <w:t>从</w:t>
            </w:r>
            <w:r>
              <w:rPr>
                <w:rFonts w:hint="eastAsia" w:ascii="宋体" w:hAnsi="宋体" w:eastAsia="宋体" w:cs="宋体"/>
                <w:b/>
                <w:bCs/>
                <w:color w:val="000000"/>
                <w:kern w:val="0"/>
                <w:sz w:val="21"/>
                <w:szCs w:val="21"/>
                <w:lang w:val="en-US" w:eastAsia="zh-CN" w:bidi="ar"/>
              </w:rPr>
              <w:t>轻处罚考虑因素：</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240" w:lineRule="auto"/>
              <w:jc w:val="left"/>
              <w:textAlignment w:val="auto"/>
              <w:rPr>
                <w:rFonts w:hint="eastAsia" w:cs="宋体"/>
                <w:b w:val="0"/>
                <w:bCs w:val="0"/>
                <w:color w:val="000000"/>
                <w:kern w:val="0"/>
                <w:sz w:val="21"/>
                <w:szCs w:val="21"/>
                <w:lang w:val="en-US" w:eastAsia="zh-CN" w:bidi="ar"/>
              </w:rPr>
            </w:pPr>
            <w:r>
              <w:rPr>
                <w:rFonts w:hint="eastAsia" w:cs="宋体"/>
                <w:b w:val="0"/>
                <w:bCs w:val="0"/>
                <w:color w:val="000000"/>
                <w:kern w:val="0"/>
                <w:sz w:val="21"/>
                <w:szCs w:val="21"/>
                <w:lang w:val="en-US" w:eastAsia="zh-CN" w:bidi="ar"/>
              </w:rPr>
              <w:t>（一）未依照麻醉药品药用原植物年度种植计划进行种植的，实际种植超过年度种植计划或者缩减年度种植计划20%以下的；</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240" w:lineRule="auto"/>
              <w:jc w:val="left"/>
              <w:textAlignment w:val="auto"/>
              <w:rPr>
                <w:rFonts w:hint="eastAsia" w:cs="宋体"/>
                <w:b w:val="0"/>
                <w:bCs w:val="0"/>
                <w:color w:val="000000"/>
                <w:kern w:val="0"/>
                <w:sz w:val="21"/>
                <w:szCs w:val="21"/>
                <w:lang w:val="en-US" w:eastAsia="zh-CN" w:bidi="ar"/>
              </w:rPr>
            </w:pPr>
            <w:r>
              <w:rPr>
                <w:rFonts w:hint="eastAsia" w:cs="宋体"/>
                <w:b w:val="0"/>
                <w:bCs w:val="0"/>
                <w:color w:val="000000"/>
                <w:kern w:val="0"/>
                <w:sz w:val="21"/>
                <w:szCs w:val="21"/>
                <w:lang w:val="en-US" w:eastAsia="zh-CN" w:bidi="ar"/>
              </w:rPr>
              <w:t>（二）储存麻醉药品药用原植物的仓储条件不达标，相应的防火设施、专用防盗门、双人双锁管理、监控设施、报警装置、管理制度职责等，有1项不符合要求的；</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240" w:lineRule="auto"/>
              <w:jc w:val="left"/>
              <w:textAlignment w:val="auto"/>
              <w:rPr>
                <w:rFonts w:hint="eastAsia" w:cs="宋体"/>
                <w:b w:val="0"/>
                <w:bCs w:val="0"/>
                <w:color w:val="000000"/>
                <w:kern w:val="0"/>
                <w:sz w:val="21"/>
                <w:szCs w:val="21"/>
                <w:lang w:val="en-US" w:eastAsia="zh-CN" w:bidi="ar"/>
              </w:rPr>
            </w:pPr>
            <w:r>
              <w:rPr>
                <w:rFonts w:hint="eastAsia" w:cs="宋体"/>
                <w:b w:val="0"/>
                <w:bCs w:val="0"/>
                <w:color w:val="000000"/>
                <w:kern w:val="0"/>
                <w:sz w:val="21"/>
                <w:szCs w:val="21"/>
                <w:lang w:val="en-US" w:eastAsia="zh-CN" w:bidi="ar"/>
              </w:rPr>
              <w:t>（三）未造成麻醉药品或者精神药品流弊的。</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从重处罚考虑因素：</w:t>
            </w:r>
          </w:p>
          <w:p>
            <w:pPr>
              <w:pStyle w:val="12"/>
              <w:keepNext w:val="0"/>
              <w:keepLines w:val="0"/>
              <w:pageBreakBefore w:val="0"/>
              <w:kinsoku/>
              <w:wordWrap/>
              <w:overflowPunct/>
              <w:topLinePunct w:val="0"/>
              <w:autoSpaceDE w:val="0"/>
              <w:autoSpaceDN w:val="0"/>
              <w:bidi w:val="0"/>
              <w:adjustRightInd/>
              <w:snapToGrid/>
              <w:spacing w:before="0" w:after="0" w:line="240" w:lineRule="auto"/>
              <w:ind w:left="0" w:leftChars="0" w:right="0" w:firstLine="0" w:firstLineChars="0"/>
              <w:textAlignment w:val="auto"/>
              <w:rPr>
                <w:rFonts w:ascii="宋体" w:hAnsi="宋体" w:eastAsia="宋体" w:cs="宋体"/>
                <w:sz w:val="21"/>
                <w:szCs w:val="21"/>
                <w:lang w:val="zh-CN" w:eastAsia="zh-CN"/>
              </w:rPr>
            </w:pPr>
            <w:r>
              <w:rPr>
                <w:rFonts w:hint="eastAsia" w:cs="宋体"/>
                <w:b w:val="0"/>
                <w:bCs w:val="0"/>
                <w:color w:val="000000"/>
                <w:kern w:val="0"/>
                <w:sz w:val="21"/>
                <w:szCs w:val="21"/>
                <w:lang w:val="en-US" w:eastAsia="zh-CN" w:bidi="ar"/>
              </w:rPr>
              <w:t>（一）</w:t>
            </w:r>
            <w:r>
              <w:rPr>
                <w:rFonts w:ascii="宋体" w:hAnsi="宋体" w:eastAsia="宋体" w:cs="宋体"/>
                <w:sz w:val="21"/>
                <w:szCs w:val="21"/>
                <w:lang w:val="zh-CN" w:eastAsia="zh-CN"/>
              </w:rPr>
              <w:t>未依照麻醉药品药用原植物年度种植计划进行种植的，实际种植超过年度种植计划或者缩减年度种植计划50%以上的；</w:t>
            </w:r>
          </w:p>
          <w:p>
            <w:pPr>
              <w:pStyle w:val="12"/>
              <w:keepNext w:val="0"/>
              <w:keepLines w:val="0"/>
              <w:pageBreakBefore w:val="0"/>
              <w:kinsoku/>
              <w:wordWrap/>
              <w:overflowPunct/>
              <w:topLinePunct w:val="0"/>
              <w:autoSpaceDE w:val="0"/>
              <w:autoSpaceDN w:val="0"/>
              <w:bidi w:val="0"/>
              <w:adjustRightInd/>
              <w:snapToGrid/>
              <w:spacing w:before="0" w:after="0" w:line="240" w:lineRule="auto"/>
              <w:ind w:left="0" w:leftChars="0" w:right="0" w:firstLine="0" w:firstLineChars="0"/>
              <w:textAlignment w:val="auto"/>
              <w:rPr>
                <w:rFonts w:ascii="宋体" w:hAnsi="宋体" w:eastAsia="宋体" w:cs="宋体"/>
                <w:sz w:val="21"/>
                <w:szCs w:val="21"/>
                <w:lang w:val="zh-CN" w:eastAsia="zh-CN"/>
              </w:rPr>
            </w:pPr>
            <w:r>
              <w:rPr>
                <w:rFonts w:hint="eastAsia" w:cs="宋体"/>
                <w:sz w:val="21"/>
                <w:szCs w:val="21"/>
                <w:lang w:val="en-US" w:eastAsia="zh-CN"/>
              </w:rPr>
              <w:t>（二）</w:t>
            </w:r>
            <w:r>
              <w:rPr>
                <w:rFonts w:ascii="宋体" w:hAnsi="宋体" w:eastAsia="宋体" w:cs="宋体"/>
                <w:sz w:val="21"/>
                <w:szCs w:val="21"/>
                <w:lang w:val="zh-CN" w:eastAsia="zh-CN"/>
              </w:rPr>
              <w:t>储存麻醉药品药用原植物的仓储条件不达标，相应的防火设施、专用防盗门、双人双锁管理、监控设施、报警装置、管理制度职责等，有3项以上不符合要求的；</w:t>
            </w:r>
          </w:p>
          <w:p>
            <w:pPr>
              <w:pStyle w:val="12"/>
              <w:keepNext w:val="0"/>
              <w:keepLines w:val="0"/>
              <w:pageBreakBefore w:val="0"/>
              <w:kinsoku/>
              <w:wordWrap/>
              <w:overflowPunct/>
              <w:topLinePunct w:val="0"/>
              <w:autoSpaceDE w:val="0"/>
              <w:autoSpaceDN w:val="0"/>
              <w:bidi w:val="0"/>
              <w:adjustRightInd/>
              <w:snapToGrid/>
              <w:spacing w:before="0" w:after="0" w:line="240" w:lineRule="auto"/>
              <w:ind w:left="0" w:leftChars="0" w:right="0" w:firstLine="0" w:firstLineChars="0"/>
              <w:textAlignment w:val="auto"/>
              <w:rPr>
                <w:rFonts w:ascii="宋体" w:hAnsi="宋体" w:eastAsia="宋体" w:cs="宋体"/>
                <w:sz w:val="21"/>
                <w:szCs w:val="21"/>
                <w:lang w:val="zh-CN" w:eastAsia="zh-CN"/>
              </w:rPr>
            </w:pPr>
            <w:r>
              <w:rPr>
                <w:rFonts w:hint="eastAsia" w:cs="宋体"/>
                <w:sz w:val="21"/>
                <w:szCs w:val="21"/>
                <w:lang w:val="zh-CN" w:eastAsia="zh-CN"/>
              </w:rPr>
              <w:t>（</w:t>
            </w:r>
            <w:r>
              <w:rPr>
                <w:rFonts w:hint="eastAsia" w:cs="宋体"/>
                <w:sz w:val="21"/>
                <w:szCs w:val="21"/>
                <w:lang w:val="en-US" w:eastAsia="zh-CN"/>
              </w:rPr>
              <w:t>三</w:t>
            </w:r>
            <w:r>
              <w:rPr>
                <w:rFonts w:hint="eastAsia" w:cs="宋体"/>
                <w:sz w:val="21"/>
                <w:szCs w:val="21"/>
                <w:lang w:val="zh-CN" w:eastAsia="zh-CN"/>
              </w:rPr>
              <w:t>）</w:t>
            </w:r>
            <w:r>
              <w:rPr>
                <w:rFonts w:ascii="宋体" w:hAnsi="宋体" w:eastAsia="宋体" w:cs="宋体"/>
                <w:sz w:val="21"/>
                <w:szCs w:val="21"/>
                <w:lang w:val="zh-CN" w:eastAsia="zh-CN"/>
              </w:rPr>
              <w:t>造成麻醉药品药用原植物流弊的；</w:t>
            </w:r>
          </w:p>
          <w:p>
            <w:pPr>
              <w:pStyle w:val="12"/>
              <w:keepNext w:val="0"/>
              <w:keepLines w:val="0"/>
              <w:pageBreakBefore w:val="0"/>
              <w:kinsoku/>
              <w:wordWrap/>
              <w:overflowPunct/>
              <w:topLinePunct w:val="0"/>
              <w:autoSpaceDE w:val="0"/>
              <w:autoSpaceDN w:val="0"/>
              <w:bidi w:val="0"/>
              <w:adjustRightInd/>
              <w:snapToGrid/>
              <w:spacing w:before="0" w:after="0" w:line="240" w:lineRule="auto"/>
              <w:ind w:left="0" w:leftChars="0" w:right="0" w:rightChars="0" w:firstLine="0" w:firstLineChars="0"/>
              <w:textAlignment w:val="auto"/>
              <w:rPr>
                <w:rFonts w:hint="eastAsia"/>
                <w:sz w:val="21"/>
              </w:rPr>
            </w:pPr>
            <w:r>
              <w:rPr>
                <w:rFonts w:hint="eastAsia" w:cs="宋体"/>
                <w:sz w:val="21"/>
                <w:szCs w:val="21"/>
                <w:lang w:val="en-US" w:eastAsia="zh-CN"/>
              </w:rPr>
              <w:t>（四）</w:t>
            </w:r>
            <w:r>
              <w:rPr>
                <w:rFonts w:ascii="宋体" w:hAnsi="宋体" w:eastAsia="宋体" w:cs="宋体"/>
                <w:sz w:val="21"/>
                <w:szCs w:val="21"/>
                <w:lang w:val="zh-CN" w:eastAsia="zh-CN"/>
              </w:rPr>
              <w:t>有《</w:t>
            </w:r>
            <w:r>
              <w:rPr>
                <w:rFonts w:ascii="宋体" w:hAnsi="宋体" w:eastAsia="宋体" w:cs="宋体"/>
                <w:sz w:val="21"/>
                <w:szCs w:val="21"/>
                <w:lang w:val="zh-CN" w:eastAsia="zh-CN"/>
              </w:rPr>
              <w:fldChar w:fldCharType="begin"/>
            </w:r>
            <w:r>
              <w:rPr>
                <w:rFonts w:ascii="宋体" w:hAnsi="宋体" w:eastAsia="宋体" w:cs="宋体"/>
                <w:sz w:val="21"/>
                <w:szCs w:val="21"/>
                <w:lang w:val="zh-CN" w:eastAsia="zh-CN"/>
              </w:rPr>
              <w:instrText xml:space="preserve"> HYPERLINK "https://law.wkinfo.com.cn/document/show?collection=legislation&amp;aid=MTAxMDAxMjQxOTQ%3D&amp;language=中文" </w:instrText>
            </w:r>
            <w:r>
              <w:rPr>
                <w:rFonts w:ascii="宋体" w:hAnsi="宋体" w:eastAsia="宋体" w:cs="宋体"/>
                <w:sz w:val="21"/>
                <w:szCs w:val="21"/>
                <w:lang w:val="zh-CN" w:eastAsia="zh-CN"/>
              </w:rPr>
              <w:fldChar w:fldCharType="separate"/>
            </w:r>
            <w:r>
              <w:rPr>
                <w:rFonts w:ascii="宋体" w:hAnsi="宋体" w:eastAsia="宋体" w:cs="宋体"/>
                <w:sz w:val="21"/>
                <w:szCs w:val="21"/>
                <w:lang w:val="zh-CN" w:eastAsia="zh-CN"/>
              </w:rPr>
              <w:t>麻醉药品和精神药品管理条例</w:t>
            </w:r>
            <w:r>
              <w:rPr>
                <w:rFonts w:ascii="宋体" w:hAnsi="宋体" w:eastAsia="宋体" w:cs="宋体"/>
                <w:sz w:val="21"/>
                <w:szCs w:val="21"/>
                <w:lang w:val="zh-CN" w:eastAsia="zh-CN"/>
              </w:rPr>
              <w:fldChar w:fldCharType="end"/>
            </w:r>
            <w:r>
              <w:rPr>
                <w:rFonts w:ascii="宋体" w:hAnsi="宋体" w:eastAsia="宋体" w:cs="宋体"/>
                <w:sz w:val="21"/>
                <w:szCs w:val="21"/>
                <w:lang w:val="zh-CN" w:eastAsia="zh-CN"/>
              </w:rPr>
              <w:t>》</w:t>
            </w:r>
            <w:r>
              <w:rPr>
                <w:rFonts w:ascii="宋体" w:hAnsi="宋体" w:eastAsia="宋体" w:cs="宋体"/>
                <w:sz w:val="21"/>
                <w:szCs w:val="21"/>
                <w:lang w:val="zh-CN" w:eastAsia="zh-CN"/>
              </w:rPr>
              <w:fldChar w:fldCharType="begin"/>
            </w:r>
            <w:r>
              <w:rPr>
                <w:rFonts w:ascii="宋体" w:hAnsi="宋体" w:eastAsia="宋体" w:cs="宋体"/>
                <w:sz w:val="21"/>
                <w:szCs w:val="21"/>
                <w:lang w:val="zh-CN" w:eastAsia="zh-CN"/>
              </w:rPr>
              <w:instrText xml:space="preserve"> HYPERLINK "https://law.wkinfo.com.cn/document/show?collection=legislation&amp;aid=MTAxMDAxMjQxOTQ%3D&amp;language=中文" \l "No214_Z8T66" </w:instrText>
            </w:r>
            <w:r>
              <w:rPr>
                <w:rFonts w:ascii="宋体" w:hAnsi="宋体" w:eastAsia="宋体" w:cs="宋体"/>
                <w:sz w:val="21"/>
                <w:szCs w:val="21"/>
                <w:lang w:val="zh-CN" w:eastAsia="zh-CN"/>
              </w:rPr>
              <w:fldChar w:fldCharType="separate"/>
            </w:r>
            <w:r>
              <w:rPr>
                <w:rFonts w:ascii="宋体" w:hAnsi="宋体" w:eastAsia="宋体" w:cs="宋体"/>
                <w:sz w:val="21"/>
                <w:szCs w:val="21"/>
                <w:lang w:val="zh-CN" w:eastAsia="zh-CN"/>
              </w:rPr>
              <w:t>第六十六条</w:t>
            </w:r>
            <w:r>
              <w:rPr>
                <w:rFonts w:ascii="宋体" w:hAnsi="宋体" w:eastAsia="宋体" w:cs="宋体"/>
                <w:sz w:val="21"/>
                <w:szCs w:val="21"/>
                <w:lang w:val="zh-CN" w:eastAsia="zh-CN"/>
              </w:rPr>
              <w:fldChar w:fldCharType="end"/>
            </w:r>
            <w:r>
              <w:rPr>
                <w:rFonts w:ascii="宋体" w:hAnsi="宋体" w:eastAsia="宋体" w:cs="宋体"/>
                <w:sz w:val="21"/>
                <w:szCs w:val="21"/>
                <w:lang w:val="zh-CN" w:eastAsia="zh-CN"/>
              </w:rPr>
              <w:t>所列2项以上情形的。</w:t>
            </w:r>
          </w:p>
        </w:tc>
      </w:tr>
    </w:tbl>
    <w:tbl>
      <w:tblPr>
        <w:tblStyle w:val="8"/>
        <w:tblpPr w:leftFromText="180" w:rightFromText="180" w:vertAnchor="text" w:horzAnchor="page" w:tblpX="1568" w:tblpY="208"/>
        <w:tblOverlap w:val="never"/>
        <w:tblW w:w="508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8"/>
        <w:gridCol w:w="1647"/>
        <w:gridCol w:w="2817"/>
        <w:gridCol w:w="3078"/>
        <w:gridCol w:w="2997"/>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92" w:type="pct"/>
            <w:vMerge w:val="restart"/>
            <w:tcBorders>
              <w:right w:val="single" w:color="000000" w:sz="8" w:space="0"/>
            </w:tcBorders>
            <w:noWrap w:val="0"/>
            <w:vAlign w:val="center"/>
          </w:tcPr>
          <w:p>
            <w:pPr>
              <w:pStyle w:val="11"/>
              <w:tabs>
                <w:tab w:val="left" w:pos="252"/>
                <w:tab w:val="center" w:pos="333"/>
              </w:tabs>
              <w:ind w:left="0"/>
              <w:jc w:val="center"/>
              <w:rPr>
                <w:rFonts w:hint="default" w:eastAsia="宋体"/>
                <w:sz w:val="2"/>
                <w:szCs w:val="2"/>
                <w:lang w:val="en-US" w:eastAsia="zh-CN"/>
              </w:rPr>
            </w:pPr>
            <w:r>
              <w:rPr>
                <w:rFonts w:hint="eastAsia"/>
                <w:b/>
                <w:sz w:val="21"/>
                <w:lang w:val="en-US" w:eastAsia="zh-CN"/>
              </w:rPr>
              <w:t>41</w:t>
            </w:r>
          </w:p>
        </w:tc>
        <w:tc>
          <w:tcPr>
            <w:tcW w:w="579" w:type="pct"/>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auto"/>
              <w:ind w:right="0" w:rightChars="0" w:firstLine="421" w:firstLineChars="200"/>
              <w:jc w:val="both"/>
              <w:textAlignment w:val="auto"/>
              <w:rPr>
                <w:rFonts w:hint="eastAsia" w:ascii="Microsoft JhengHei"/>
                <w:b/>
                <w:sz w:val="21"/>
                <w:lang w:val="en-US" w:eastAsia="zh-CN"/>
              </w:rPr>
            </w:pPr>
            <w:r>
              <w:rPr>
                <w:rFonts w:hint="eastAsia" w:ascii="Microsoft JhengHei"/>
                <w:b/>
                <w:sz w:val="21"/>
                <w:lang w:val="en-US" w:eastAsia="zh-CN"/>
              </w:rPr>
              <w:t>裁量条款</w:t>
            </w:r>
          </w:p>
        </w:tc>
        <w:tc>
          <w:tcPr>
            <w:tcW w:w="4227" w:type="pct"/>
            <w:gridSpan w:val="4"/>
            <w:tcBorders>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hint="eastAsia"/>
                <w:sz w:val="21"/>
                <w:lang w:val="en-US" w:eastAsia="zh-CN"/>
              </w:rPr>
            </w:pPr>
            <w:r>
              <w:rPr>
                <w:rFonts w:hint="eastAsia" w:ascii="Microsoft JhengHei"/>
                <w:b/>
                <w:sz w:val="21"/>
                <w:lang w:val="en-US" w:eastAsia="zh-CN"/>
              </w:rPr>
              <w:t>第四十一条  本条是对《麻醉药品和精神药品管理条例》第六十七条“并处5万元以上10万元以下的罚款”裁量基准的规定。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6" w:hRule="atLeast"/>
        </w:trPr>
        <w:tc>
          <w:tcPr>
            <w:tcW w:w="192"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9" w:type="pct"/>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val="en-US" w:eastAsia="zh-CN"/>
              </w:rPr>
            </w:pPr>
            <w:r>
              <w:rPr>
                <w:rFonts w:hint="eastAsia" w:ascii="Microsoft JhengHei"/>
                <w:b/>
                <w:sz w:val="21"/>
                <w:lang w:val="en-US" w:eastAsia="zh-CN"/>
              </w:rPr>
              <w:t>关联法条</w:t>
            </w:r>
          </w:p>
        </w:tc>
        <w:tc>
          <w:tcPr>
            <w:tcW w:w="4227" w:type="pct"/>
            <w:gridSpan w:val="4"/>
            <w:tcBorders>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eastAsia"/>
                <w:sz w:val="21"/>
                <w:lang w:val="en-US" w:eastAsia="zh-CN"/>
              </w:rPr>
            </w:pPr>
            <w:r>
              <w:rPr>
                <w:rFonts w:hint="eastAsia"/>
                <w:sz w:val="21"/>
                <w:lang w:val="en-US" w:eastAsia="zh-CN"/>
              </w:rPr>
              <w:t>《麻醉药品和精神药品管理条例》第六十七条 定点生产企业违反本条例的规定，有下列情形之一的，由药品监督管理部门责令限期改正，给予警告，并没收违法所得和违法销售的药品；逾期不改正的，责令停产，并处5万元以上10万元以下的罚款；情节严重的，取消其定点生产资格：</w:t>
            </w:r>
          </w:p>
          <w:p>
            <w:pPr>
              <w:pStyle w:val="11"/>
              <w:keepNext w:val="0"/>
              <w:keepLines w:val="0"/>
              <w:pageBreakBefore w:val="0"/>
              <w:widowControl w:val="0"/>
              <w:kinsoku/>
              <w:wordWrap/>
              <w:overflowPunct/>
              <w:topLinePunct w:val="0"/>
              <w:autoSpaceDE w:val="0"/>
              <w:autoSpaceDN w:val="0"/>
              <w:bidi w:val="0"/>
              <w:adjustRightInd/>
              <w:snapToGrid/>
              <w:spacing w:line="288" w:lineRule="auto"/>
              <w:ind w:right="0" w:firstLine="420" w:firstLineChars="200"/>
              <w:jc w:val="both"/>
              <w:textAlignment w:val="auto"/>
              <w:rPr>
                <w:rFonts w:hint="eastAsia"/>
                <w:sz w:val="21"/>
                <w:lang w:val="en-US" w:eastAsia="zh-CN"/>
              </w:rPr>
            </w:pPr>
            <w:r>
              <w:rPr>
                <w:rFonts w:hint="eastAsia"/>
                <w:sz w:val="21"/>
                <w:lang w:val="en-US" w:eastAsia="zh-CN"/>
              </w:rPr>
              <w:t>(一)未按照麻醉药品和精神药品年度生产计划安排生产的；</w:t>
            </w:r>
          </w:p>
          <w:p>
            <w:pPr>
              <w:pStyle w:val="11"/>
              <w:keepNext w:val="0"/>
              <w:keepLines w:val="0"/>
              <w:pageBreakBefore w:val="0"/>
              <w:widowControl w:val="0"/>
              <w:kinsoku/>
              <w:wordWrap/>
              <w:overflowPunct/>
              <w:topLinePunct w:val="0"/>
              <w:autoSpaceDE w:val="0"/>
              <w:autoSpaceDN w:val="0"/>
              <w:bidi w:val="0"/>
              <w:adjustRightInd/>
              <w:snapToGrid/>
              <w:spacing w:line="288" w:lineRule="auto"/>
              <w:ind w:right="0" w:firstLine="420" w:firstLineChars="200"/>
              <w:jc w:val="both"/>
              <w:textAlignment w:val="auto"/>
              <w:rPr>
                <w:rFonts w:hint="eastAsia"/>
                <w:sz w:val="21"/>
                <w:lang w:val="en-US" w:eastAsia="zh-CN"/>
              </w:rPr>
            </w:pPr>
            <w:r>
              <w:rPr>
                <w:rFonts w:hint="eastAsia"/>
                <w:sz w:val="21"/>
                <w:lang w:val="en-US" w:eastAsia="zh-CN"/>
              </w:rPr>
              <w:t>(二)未依照规定向药品监督管理部门报告生产情况的；</w:t>
            </w:r>
          </w:p>
          <w:p>
            <w:pPr>
              <w:pStyle w:val="11"/>
              <w:keepNext w:val="0"/>
              <w:keepLines w:val="0"/>
              <w:pageBreakBefore w:val="0"/>
              <w:widowControl w:val="0"/>
              <w:kinsoku/>
              <w:wordWrap/>
              <w:overflowPunct/>
              <w:topLinePunct w:val="0"/>
              <w:autoSpaceDE w:val="0"/>
              <w:autoSpaceDN w:val="0"/>
              <w:bidi w:val="0"/>
              <w:adjustRightInd/>
              <w:snapToGrid/>
              <w:spacing w:line="288" w:lineRule="auto"/>
              <w:ind w:right="0" w:firstLine="420" w:firstLineChars="200"/>
              <w:jc w:val="both"/>
              <w:textAlignment w:val="auto"/>
              <w:rPr>
                <w:rFonts w:hint="eastAsia"/>
                <w:sz w:val="21"/>
                <w:lang w:val="en-US" w:eastAsia="zh-CN"/>
              </w:rPr>
            </w:pPr>
            <w:r>
              <w:rPr>
                <w:rFonts w:hint="eastAsia"/>
                <w:sz w:val="21"/>
                <w:lang w:val="en-US" w:eastAsia="zh-CN"/>
              </w:rPr>
              <w:t>(三)未依照规定储存麻醉药品和精神药品，或者未依照规定建立、保存专用账册的；</w:t>
            </w:r>
          </w:p>
          <w:p>
            <w:pPr>
              <w:pStyle w:val="11"/>
              <w:keepNext w:val="0"/>
              <w:keepLines w:val="0"/>
              <w:pageBreakBefore w:val="0"/>
              <w:widowControl w:val="0"/>
              <w:kinsoku/>
              <w:wordWrap/>
              <w:overflowPunct/>
              <w:topLinePunct w:val="0"/>
              <w:autoSpaceDE w:val="0"/>
              <w:autoSpaceDN w:val="0"/>
              <w:bidi w:val="0"/>
              <w:adjustRightInd/>
              <w:snapToGrid/>
              <w:spacing w:line="288" w:lineRule="auto"/>
              <w:ind w:right="0" w:firstLine="420" w:firstLineChars="200"/>
              <w:jc w:val="both"/>
              <w:textAlignment w:val="auto"/>
              <w:rPr>
                <w:rFonts w:hint="eastAsia"/>
                <w:sz w:val="21"/>
                <w:lang w:val="en-US" w:eastAsia="zh-CN"/>
              </w:rPr>
            </w:pPr>
            <w:r>
              <w:rPr>
                <w:rFonts w:hint="eastAsia"/>
                <w:sz w:val="21"/>
                <w:lang w:val="en-US" w:eastAsia="zh-CN"/>
              </w:rPr>
              <w:t>(四)未依照规定销售麻醉药品和精神药品的；</w:t>
            </w:r>
          </w:p>
          <w:p>
            <w:pPr>
              <w:pStyle w:val="11"/>
              <w:keepNext w:val="0"/>
              <w:keepLines w:val="0"/>
              <w:pageBreakBefore w:val="0"/>
              <w:widowControl w:val="0"/>
              <w:kinsoku/>
              <w:wordWrap/>
              <w:overflowPunct/>
              <w:topLinePunct w:val="0"/>
              <w:autoSpaceDE w:val="0"/>
              <w:autoSpaceDN w:val="0"/>
              <w:bidi w:val="0"/>
              <w:adjustRightInd/>
              <w:snapToGrid/>
              <w:spacing w:line="288" w:lineRule="auto"/>
              <w:ind w:right="0" w:firstLine="420" w:firstLineChars="200"/>
              <w:jc w:val="both"/>
              <w:textAlignment w:val="auto"/>
              <w:rPr>
                <w:rFonts w:hint="eastAsia"/>
                <w:sz w:val="21"/>
              </w:rPr>
            </w:pPr>
            <w:r>
              <w:rPr>
                <w:rFonts w:hint="eastAsia"/>
                <w:sz w:val="21"/>
                <w:lang w:val="en-US" w:eastAsia="zh-CN"/>
              </w:rPr>
              <w:t>(五)未依照规定销毁麻醉药品和精神药品的</w:t>
            </w:r>
            <w:r>
              <w:rPr>
                <w:rFonts w:hint="default"/>
                <w:sz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92"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9"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eastAsia="zh-CN"/>
              </w:rPr>
            </w:pPr>
            <w:r>
              <w:rPr>
                <w:rFonts w:hint="eastAsia" w:ascii="Microsoft JhengHei"/>
                <w:b/>
                <w:sz w:val="21"/>
                <w:lang w:eastAsia="zh-CN"/>
              </w:rPr>
              <w:t>裁量等级</w:t>
            </w:r>
          </w:p>
        </w:tc>
        <w:tc>
          <w:tcPr>
            <w:tcW w:w="991"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减轻处罚幅度</w:t>
            </w:r>
          </w:p>
        </w:tc>
        <w:tc>
          <w:tcPr>
            <w:tcW w:w="1083"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从轻处罚幅度</w:t>
            </w:r>
          </w:p>
        </w:tc>
        <w:tc>
          <w:tcPr>
            <w:tcW w:w="1054"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一般处罚幅度</w:t>
            </w:r>
          </w:p>
        </w:tc>
        <w:tc>
          <w:tcPr>
            <w:tcW w:w="1097"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0" w:hRule="atLeast"/>
        </w:trPr>
        <w:tc>
          <w:tcPr>
            <w:tcW w:w="192"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9"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eastAsia="zh-CN"/>
              </w:rPr>
            </w:pPr>
            <w:r>
              <w:rPr>
                <w:rFonts w:hint="eastAsia" w:ascii="Microsoft JhengHei"/>
                <w:b/>
                <w:sz w:val="21"/>
                <w:lang w:eastAsia="zh-CN"/>
              </w:rPr>
              <w:t>裁量基准</w:t>
            </w:r>
          </w:p>
        </w:tc>
        <w:tc>
          <w:tcPr>
            <w:tcW w:w="991"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p>
        </w:tc>
        <w:tc>
          <w:tcPr>
            <w:tcW w:w="1083"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zh-CN" w:eastAsia="zh-CN"/>
              </w:rPr>
            </w:pPr>
            <w:r>
              <w:rPr>
                <w:rFonts w:hint="eastAsia"/>
                <w:sz w:val="21"/>
                <w:lang w:val="zh-CN" w:eastAsia="zh-CN"/>
              </w:rPr>
              <w:t>从轻行政处罚，处</w:t>
            </w:r>
            <w:r>
              <w:rPr>
                <w:rFonts w:hint="eastAsia"/>
                <w:sz w:val="21"/>
                <w:lang w:val="en-US" w:eastAsia="zh-CN"/>
              </w:rPr>
              <w:t>5</w:t>
            </w:r>
            <w:r>
              <w:rPr>
                <w:rFonts w:hint="eastAsia"/>
                <w:sz w:val="21"/>
                <w:lang w:val="zh-CN" w:eastAsia="zh-CN"/>
              </w:rPr>
              <w:t>万元至</w:t>
            </w:r>
            <w:r>
              <w:rPr>
                <w:rFonts w:hint="eastAsia"/>
                <w:sz w:val="21"/>
                <w:lang w:val="en-US" w:eastAsia="zh-CN"/>
              </w:rPr>
              <w:t>6.5</w:t>
            </w:r>
            <w:r>
              <w:rPr>
                <w:rFonts w:hint="eastAsia"/>
                <w:sz w:val="21"/>
                <w:lang w:val="zh-CN" w:eastAsia="zh-CN"/>
              </w:rPr>
              <w:t>万元的罚款。</w:t>
            </w:r>
          </w:p>
        </w:tc>
        <w:tc>
          <w:tcPr>
            <w:tcW w:w="1054"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zh-CN" w:eastAsia="zh-CN"/>
              </w:rPr>
            </w:pPr>
            <w:r>
              <w:rPr>
                <w:rFonts w:hint="eastAsia"/>
                <w:sz w:val="21"/>
                <w:lang w:val="zh-CN" w:eastAsia="zh-CN"/>
              </w:rPr>
              <w:t>一般行政处罚，处</w:t>
            </w:r>
            <w:r>
              <w:rPr>
                <w:rFonts w:hint="eastAsia"/>
                <w:sz w:val="21"/>
                <w:lang w:val="en-US" w:eastAsia="zh-CN"/>
              </w:rPr>
              <w:t>6.5</w:t>
            </w:r>
            <w:r>
              <w:rPr>
                <w:rFonts w:hint="eastAsia"/>
                <w:sz w:val="21"/>
                <w:lang w:val="zh-CN" w:eastAsia="zh-CN"/>
              </w:rPr>
              <w:t>万元以上</w:t>
            </w:r>
            <w:r>
              <w:rPr>
                <w:rFonts w:hint="eastAsia"/>
                <w:sz w:val="21"/>
                <w:lang w:val="en-US" w:eastAsia="zh-CN"/>
              </w:rPr>
              <w:t>8.5</w:t>
            </w:r>
            <w:r>
              <w:rPr>
                <w:rFonts w:hint="eastAsia"/>
                <w:sz w:val="21"/>
                <w:lang w:val="zh-CN" w:eastAsia="zh-CN"/>
              </w:rPr>
              <w:t>万元以下的罚款。</w:t>
            </w:r>
          </w:p>
        </w:tc>
        <w:tc>
          <w:tcPr>
            <w:tcW w:w="1097"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zh-CN" w:eastAsia="zh-CN"/>
              </w:rPr>
            </w:pPr>
            <w:r>
              <w:rPr>
                <w:rFonts w:hint="eastAsia"/>
                <w:sz w:val="21"/>
                <w:lang w:val="zh-CN" w:eastAsia="zh-CN"/>
              </w:rPr>
              <w:t>从重行政处罚，处</w:t>
            </w:r>
            <w:r>
              <w:rPr>
                <w:rFonts w:hint="eastAsia"/>
                <w:sz w:val="21"/>
                <w:lang w:val="en-US" w:eastAsia="zh-CN"/>
              </w:rPr>
              <w:t>8.5</w:t>
            </w:r>
            <w:r>
              <w:rPr>
                <w:rFonts w:hint="eastAsia"/>
                <w:sz w:val="21"/>
                <w:lang w:val="zh-CN" w:eastAsia="zh-CN"/>
              </w:rPr>
              <w:t>万元至</w:t>
            </w:r>
            <w:r>
              <w:rPr>
                <w:rFonts w:hint="eastAsia"/>
                <w:sz w:val="21"/>
                <w:lang w:val="en-US" w:eastAsia="zh-CN"/>
              </w:rPr>
              <w:t>10</w:t>
            </w:r>
            <w:r>
              <w:rPr>
                <w:rFonts w:hint="eastAsia"/>
                <w:sz w:val="21"/>
                <w:lang w:val="zh-CN" w:eastAsia="zh-CN"/>
              </w:rPr>
              <w:t>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0" w:hRule="atLeast"/>
        </w:trPr>
        <w:tc>
          <w:tcPr>
            <w:tcW w:w="192"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9" w:type="pct"/>
            <w:tcBorders>
              <w:top w:val="single" w:color="000000" w:sz="8" w:space="0"/>
              <w:left w:val="single" w:color="000000" w:sz="8" w:space="0"/>
              <w:bottom w:val="single" w:color="000000" w:sz="8" w:space="0"/>
              <w:right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2" w:line="240" w:lineRule="exact"/>
              <w:ind w:left="17" w:leftChars="0" w:right="11" w:rightChars="0"/>
              <w:jc w:val="both"/>
              <w:textAlignment w:val="auto"/>
              <w:rPr>
                <w:rFonts w:hint="eastAsia" w:eastAsia="宋体"/>
                <w:lang w:val="en-US" w:eastAsia="zh-CN"/>
              </w:rPr>
            </w:pPr>
            <w:r>
              <w:rPr>
                <w:rFonts w:hint="eastAsia" w:ascii="Microsoft JhengHei" w:eastAsia="Microsoft JhengHei"/>
                <w:b/>
                <w:sz w:val="21"/>
                <w:lang w:val="en-US" w:eastAsia="zh-CN"/>
              </w:rPr>
              <w:t>裁量因素</w:t>
            </w:r>
            <w:r>
              <w:rPr>
                <w:rFonts w:hint="eastAsia" w:ascii="Microsoft JhengHei" w:eastAsia="Microsoft JhengHei"/>
                <w:b w:val="0"/>
                <w:bCs/>
                <w:sz w:val="21"/>
                <w:lang w:val="en-US" w:eastAsia="zh-CN"/>
              </w:rPr>
              <w:t>（是指在进行裁量时，除裁量规则规定的从轻、减轻、从重情形外，可以考虑的因素）</w:t>
            </w:r>
          </w:p>
        </w:tc>
        <w:tc>
          <w:tcPr>
            <w:tcW w:w="4227" w:type="pct"/>
            <w:gridSpan w:val="4"/>
            <w:tcBorders>
              <w:top w:val="single" w:color="000000" w:sz="8" w:space="0"/>
              <w:left w:val="single" w:color="auto" w:sz="4" w:space="0"/>
              <w:bottom w:val="single" w:color="000000" w:sz="8" w:space="0"/>
              <w:right w:val="single" w:color="000000" w:sz="8" w:space="0"/>
            </w:tcBorders>
            <w:noWrap w:val="0"/>
            <w:vAlign w:val="top"/>
          </w:tcPr>
          <w:p>
            <w:pPr>
              <w:keepNext w:val="0"/>
              <w:keepLines w:val="0"/>
              <w:pageBreakBefore w:val="0"/>
              <w:widowControl/>
              <w:suppressLineNumbers w:val="0"/>
              <w:kinsoku/>
              <w:wordWrap/>
              <w:overflowPunct/>
              <w:topLinePunct w:val="0"/>
              <w:autoSpaceDE w:val="0"/>
              <w:autoSpaceDN w:val="0"/>
              <w:bidi w:val="0"/>
              <w:adjustRightInd/>
              <w:snapToGrid/>
              <w:spacing w:line="220" w:lineRule="atLeast"/>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0"/>
                <w:szCs w:val="20"/>
                <w:lang w:val="en-US" w:eastAsia="zh-CN" w:bidi="ar"/>
              </w:rPr>
              <w:t>从</w:t>
            </w:r>
            <w:r>
              <w:rPr>
                <w:rFonts w:hint="eastAsia" w:ascii="宋体" w:hAnsi="宋体" w:eastAsia="宋体" w:cs="宋体"/>
                <w:b/>
                <w:bCs/>
                <w:color w:val="000000"/>
                <w:kern w:val="0"/>
                <w:sz w:val="21"/>
                <w:szCs w:val="21"/>
                <w:lang w:val="en-US" w:eastAsia="zh-CN" w:bidi="ar"/>
              </w:rPr>
              <w:t>轻处罚考虑因素：</w:t>
            </w:r>
          </w:p>
          <w:p>
            <w:pPr>
              <w:keepNext w:val="0"/>
              <w:keepLines w:val="0"/>
              <w:pageBreakBefore w:val="0"/>
              <w:widowControl/>
              <w:suppressLineNumbers w:val="0"/>
              <w:kinsoku/>
              <w:wordWrap/>
              <w:overflowPunct/>
              <w:topLinePunct w:val="0"/>
              <w:autoSpaceDE w:val="0"/>
              <w:autoSpaceDN w:val="0"/>
              <w:bidi w:val="0"/>
              <w:adjustRightInd/>
              <w:snapToGrid/>
              <w:spacing w:line="220" w:lineRule="atLeast"/>
              <w:jc w:val="left"/>
              <w:rPr>
                <w:rFonts w:hint="eastAsia" w:ascii="宋体" w:hAnsi="宋体" w:eastAsia="宋体" w:cs="宋体"/>
                <w:b w:val="0"/>
                <w:bCs w:val="0"/>
                <w:color w:val="000000"/>
                <w:kern w:val="0"/>
                <w:sz w:val="21"/>
                <w:szCs w:val="21"/>
                <w:lang w:val="en-US" w:eastAsia="zh-CN" w:bidi="ar"/>
              </w:rPr>
            </w:pPr>
            <w:r>
              <w:rPr>
                <w:rFonts w:hint="eastAsia" w:cs="宋体"/>
                <w:b w:val="0"/>
                <w:bCs w:val="0"/>
                <w:color w:val="000000"/>
                <w:kern w:val="0"/>
                <w:sz w:val="21"/>
                <w:szCs w:val="21"/>
                <w:lang w:val="en-US" w:eastAsia="zh-CN" w:bidi="ar"/>
              </w:rPr>
              <w:t>（一）</w:t>
            </w:r>
            <w:r>
              <w:rPr>
                <w:rFonts w:hint="eastAsia" w:ascii="宋体" w:hAnsi="宋体" w:eastAsia="宋体" w:cs="宋体"/>
                <w:b w:val="0"/>
                <w:bCs w:val="0"/>
                <w:color w:val="000000"/>
                <w:kern w:val="0"/>
                <w:sz w:val="21"/>
                <w:szCs w:val="21"/>
                <w:lang w:val="en-US" w:eastAsia="zh-CN" w:bidi="ar"/>
              </w:rPr>
              <w:t>未按年度计划安排生产，实际生产超过或者缩减年度计划20%以下的；</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220" w:lineRule="atLeast"/>
              <w:jc w:val="left"/>
              <w:rPr>
                <w:rFonts w:ascii="宋体" w:hAnsi="宋体" w:eastAsia="宋体" w:cs="宋体"/>
                <w:sz w:val="21"/>
                <w:szCs w:val="21"/>
                <w:lang w:val="zh-CN" w:eastAsia="zh-CN"/>
              </w:rPr>
            </w:pPr>
            <w:r>
              <w:rPr>
                <w:rFonts w:hint="eastAsia" w:cs="宋体"/>
                <w:sz w:val="21"/>
                <w:szCs w:val="21"/>
                <w:lang w:val="zh-CN" w:eastAsia="zh-CN" w:bidi="zh-CN"/>
              </w:rPr>
              <w:t>（</w:t>
            </w:r>
            <w:r>
              <w:rPr>
                <w:rFonts w:hint="eastAsia" w:cs="宋体"/>
                <w:sz w:val="21"/>
                <w:szCs w:val="21"/>
                <w:lang w:val="en-US" w:eastAsia="zh-CN" w:bidi="zh-CN"/>
              </w:rPr>
              <w:t>二</w:t>
            </w:r>
            <w:r>
              <w:rPr>
                <w:rFonts w:hint="eastAsia" w:cs="宋体"/>
                <w:sz w:val="21"/>
                <w:szCs w:val="21"/>
                <w:lang w:val="zh-CN" w:eastAsia="zh-CN" w:bidi="zh-CN"/>
              </w:rPr>
              <w:t>）</w:t>
            </w:r>
            <w:r>
              <w:rPr>
                <w:rFonts w:hint="eastAsia" w:ascii="宋体" w:hAnsi="宋体" w:eastAsia="宋体" w:cs="宋体"/>
                <w:b w:val="0"/>
                <w:bCs w:val="0"/>
                <w:color w:val="000000"/>
                <w:kern w:val="0"/>
                <w:sz w:val="21"/>
                <w:szCs w:val="21"/>
                <w:lang w:val="en-US" w:eastAsia="zh-CN" w:bidi="ar"/>
              </w:rPr>
              <w:t>麻醉药品精神药品储存条件不达标，相应的防火设施、专用防盗门、双人双锁管理、监控设施、报警装置、管理制度职责等，有1项不符合要求的；</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220" w:lineRule="atLeast"/>
              <w:jc w:val="left"/>
              <w:rPr>
                <w:rFonts w:ascii="宋体" w:hAnsi="宋体" w:eastAsia="宋体" w:cs="宋体"/>
                <w:sz w:val="21"/>
                <w:szCs w:val="21"/>
                <w:lang w:val="zh-CN" w:eastAsia="zh-CN"/>
              </w:rPr>
            </w:pPr>
            <w:r>
              <w:rPr>
                <w:rFonts w:hint="eastAsia" w:cs="宋体"/>
                <w:sz w:val="21"/>
                <w:szCs w:val="21"/>
                <w:lang w:val="zh-CN" w:eastAsia="zh-CN" w:bidi="zh-CN"/>
              </w:rPr>
              <w:t>（</w:t>
            </w:r>
            <w:r>
              <w:rPr>
                <w:rFonts w:hint="eastAsia" w:cs="宋体"/>
                <w:sz w:val="21"/>
                <w:szCs w:val="21"/>
                <w:lang w:val="en-US" w:eastAsia="zh-CN" w:bidi="zh-CN"/>
              </w:rPr>
              <w:t>三</w:t>
            </w:r>
            <w:r>
              <w:rPr>
                <w:rFonts w:hint="eastAsia" w:cs="宋体"/>
                <w:sz w:val="21"/>
                <w:szCs w:val="21"/>
                <w:lang w:val="zh-CN" w:eastAsia="zh-CN" w:bidi="zh-CN"/>
              </w:rPr>
              <w:t>）</w:t>
            </w:r>
            <w:r>
              <w:rPr>
                <w:rFonts w:ascii="宋体" w:hAnsi="宋体" w:eastAsia="宋体" w:cs="宋体"/>
                <w:sz w:val="21"/>
                <w:szCs w:val="21"/>
                <w:lang w:val="zh-CN" w:eastAsia="zh-CN"/>
              </w:rPr>
              <w:t>麻醉药品和第二类精神药品专用账册不完整、药品入库未执行双人验收制度、出库未执行双人复核制度、专用账册保存期限少于药品有效期满之日起五年，有上述1项情形的；</w:t>
            </w:r>
            <w:bookmarkStart w:id="6" w:name="No1777_T110K3X4"/>
            <w:bookmarkEnd w:id="6"/>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220" w:lineRule="atLeast"/>
              <w:jc w:val="left"/>
              <w:rPr>
                <w:rFonts w:hint="eastAsia" w:cs="宋体"/>
                <w:sz w:val="21"/>
                <w:szCs w:val="21"/>
                <w:lang w:val="zh-CN" w:eastAsia="zh-CN"/>
              </w:rPr>
            </w:pPr>
            <w:r>
              <w:rPr>
                <w:rFonts w:hint="eastAsia" w:cs="宋体"/>
                <w:sz w:val="21"/>
                <w:szCs w:val="21"/>
                <w:lang w:val="zh-CN" w:eastAsia="zh-CN" w:bidi="zh-CN"/>
              </w:rPr>
              <w:t>（</w:t>
            </w:r>
            <w:r>
              <w:rPr>
                <w:rFonts w:hint="eastAsia" w:cs="宋体"/>
                <w:sz w:val="21"/>
                <w:szCs w:val="21"/>
                <w:lang w:val="en-US" w:eastAsia="zh-CN" w:bidi="zh-CN"/>
              </w:rPr>
              <w:t>四</w:t>
            </w:r>
            <w:r>
              <w:rPr>
                <w:rFonts w:hint="eastAsia" w:cs="宋体"/>
                <w:sz w:val="21"/>
                <w:szCs w:val="21"/>
                <w:lang w:val="zh-CN" w:eastAsia="zh-CN" w:bidi="zh-CN"/>
              </w:rPr>
              <w:t>）</w:t>
            </w:r>
            <w:r>
              <w:rPr>
                <w:rFonts w:ascii="宋体" w:hAnsi="宋体" w:eastAsia="宋体" w:cs="宋体"/>
                <w:sz w:val="21"/>
                <w:szCs w:val="21"/>
                <w:lang w:val="zh-CN" w:eastAsia="zh-CN"/>
              </w:rPr>
              <w:t>未造成麻醉药品或者精神药品流弊的</w:t>
            </w:r>
            <w:bookmarkStart w:id="7" w:name="No1778_T110K3X5"/>
            <w:bookmarkEnd w:id="7"/>
            <w:r>
              <w:rPr>
                <w:rFonts w:hint="eastAsia" w:cs="宋体"/>
                <w:sz w:val="21"/>
                <w:szCs w:val="21"/>
                <w:lang w:val="zh-CN" w:eastAsia="zh-CN"/>
              </w:rPr>
              <w:t>。</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220" w:lineRule="atLeast"/>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从重处罚考虑因素：</w:t>
            </w:r>
          </w:p>
          <w:p>
            <w:pPr>
              <w:pStyle w:val="12"/>
              <w:keepNext w:val="0"/>
              <w:keepLines w:val="0"/>
              <w:pageBreakBefore w:val="0"/>
              <w:kinsoku/>
              <w:wordWrap/>
              <w:overflowPunct/>
              <w:topLinePunct w:val="0"/>
              <w:autoSpaceDE w:val="0"/>
              <w:autoSpaceDN w:val="0"/>
              <w:bidi w:val="0"/>
              <w:adjustRightInd/>
              <w:snapToGrid/>
              <w:spacing w:after="0" w:line="220" w:lineRule="atLeast"/>
              <w:ind w:left="0" w:leftChars="0" w:right="0" w:firstLine="0" w:firstLineChars="0"/>
              <w:rPr>
                <w:rFonts w:ascii="宋体" w:hAnsi="宋体" w:eastAsia="宋体" w:cs="宋体"/>
                <w:sz w:val="21"/>
                <w:szCs w:val="21"/>
                <w:lang w:val="zh-CN" w:eastAsia="zh-CN"/>
              </w:rPr>
            </w:pPr>
            <w:r>
              <w:rPr>
                <w:rFonts w:hint="eastAsia" w:cs="宋体"/>
                <w:b w:val="0"/>
                <w:bCs w:val="0"/>
                <w:color w:val="000000"/>
                <w:kern w:val="0"/>
                <w:sz w:val="21"/>
                <w:szCs w:val="21"/>
                <w:lang w:val="en-US" w:eastAsia="zh-CN" w:bidi="ar"/>
              </w:rPr>
              <w:t>（一）</w:t>
            </w:r>
            <w:r>
              <w:rPr>
                <w:rFonts w:ascii="宋体" w:hAnsi="宋体" w:eastAsia="宋体" w:cs="宋体"/>
                <w:sz w:val="21"/>
                <w:szCs w:val="21"/>
                <w:lang w:val="zh-CN" w:eastAsia="zh-CN"/>
              </w:rPr>
              <w:t>未按年度计划安排生产，实际生产超过或者缩减年度计划50%以上的；</w:t>
            </w:r>
          </w:p>
          <w:p>
            <w:pPr>
              <w:pStyle w:val="12"/>
              <w:keepNext w:val="0"/>
              <w:keepLines w:val="0"/>
              <w:pageBreakBefore w:val="0"/>
              <w:kinsoku/>
              <w:wordWrap/>
              <w:overflowPunct/>
              <w:topLinePunct w:val="0"/>
              <w:autoSpaceDE w:val="0"/>
              <w:autoSpaceDN w:val="0"/>
              <w:bidi w:val="0"/>
              <w:adjustRightInd/>
              <w:snapToGrid/>
              <w:spacing w:after="0" w:line="220" w:lineRule="atLeast"/>
              <w:ind w:left="0" w:leftChars="0" w:right="0" w:firstLine="0" w:firstLineChars="0"/>
              <w:rPr>
                <w:rFonts w:ascii="宋体" w:hAnsi="宋体" w:eastAsia="宋体" w:cs="宋体"/>
                <w:sz w:val="21"/>
                <w:szCs w:val="21"/>
                <w:lang w:val="zh-CN" w:eastAsia="zh-CN"/>
              </w:rPr>
            </w:pPr>
            <w:bookmarkStart w:id="8" w:name="No1781_T110K4X2"/>
            <w:bookmarkEnd w:id="8"/>
            <w:r>
              <w:rPr>
                <w:rFonts w:hint="eastAsia" w:cs="宋体"/>
                <w:sz w:val="21"/>
                <w:szCs w:val="21"/>
                <w:lang w:val="en-US" w:eastAsia="zh-CN"/>
              </w:rPr>
              <w:t>（二）</w:t>
            </w:r>
            <w:r>
              <w:rPr>
                <w:rFonts w:ascii="宋体" w:hAnsi="宋体" w:eastAsia="宋体" w:cs="宋体"/>
                <w:sz w:val="21"/>
                <w:szCs w:val="21"/>
                <w:lang w:val="zh-CN" w:eastAsia="zh-CN"/>
              </w:rPr>
              <w:t>未建立储存麻醉药品或者第一类精神药品专库的；</w:t>
            </w:r>
          </w:p>
          <w:p>
            <w:pPr>
              <w:pStyle w:val="12"/>
              <w:keepNext w:val="0"/>
              <w:keepLines w:val="0"/>
              <w:pageBreakBefore w:val="0"/>
              <w:kinsoku/>
              <w:wordWrap/>
              <w:overflowPunct/>
              <w:topLinePunct w:val="0"/>
              <w:autoSpaceDE w:val="0"/>
              <w:autoSpaceDN w:val="0"/>
              <w:bidi w:val="0"/>
              <w:adjustRightInd/>
              <w:snapToGrid/>
              <w:spacing w:after="0" w:line="220" w:lineRule="atLeast"/>
              <w:ind w:left="0" w:leftChars="0" w:right="0" w:firstLine="0" w:firstLineChars="0"/>
              <w:rPr>
                <w:rFonts w:ascii="宋体" w:hAnsi="宋体" w:eastAsia="宋体" w:cs="宋体"/>
                <w:sz w:val="21"/>
                <w:szCs w:val="21"/>
                <w:lang w:val="zh-CN" w:eastAsia="zh-CN"/>
              </w:rPr>
            </w:pPr>
            <w:bookmarkStart w:id="9" w:name="No1782_T110K4X3"/>
            <w:bookmarkEnd w:id="9"/>
            <w:r>
              <w:rPr>
                <w:rFonts w:hint="eastAsia" w:cs="宋体"/>
                <w:sz w:val="21"/>
                <w:szCs w:val="21"/>
                <w:lang w:val="en-US" w:eastAsia="zh-CN"/>
              </w:rPr>
              <w:t>（三）</w:t>
            </w:r>
            <w:r>
              <w:rPr>
                <w:rFonts w:ascii="宋体" w:hAnsi="宋体" w:eastAsia="宋体" w:cs="宋体"/>
                <w:sz w:val="21"/>
                <w:szCs w:val="21"/>
                <w:lang w:val="zh-CN" w:eastAsia="zh-CN"/>
              </w:rPr>
              <w:t>麻醉药品、精神药品储存条件不达标，相应的防火设施、专用防盗门、双人双锁管理、监控设施、报警装置、管理制度职责等，有3项以上不符合要求的；</w:t>
            </w:r>
          </w:p>
          <w:p>
            <w:pPr>
              <w:pStyle w:val="12"/>
              <w:keepNext w:val="0"/>
              <w:keepLines w:val="0"/>
              <w:pageBreakBefore w:val="0"/>
              <w:kinsoku/>
              <w:wordWrap/>
              <w:overflowPunct/>
              <w:topLinePunct w:val="0"/>
              <w:autoSpaceDE w:val="0"/>
              <w:autoSpaceDN w:val="0"/>
              <w:bidi w:val="0"/>
              <w:adjustRightInd/>
              <w:snapToGrid/>
              <w:spacing w:after="0" w:line="220" w:lineRule="atLeast"/>
              <w:ind w:left="0" w:leftChars="0" w:right="0" w:firstLine="0" w:firstLineChars="0"/>
              <w:rPr>
                <w:rFonts w:ascii="宋体" w:hAnsi="宋体" w:eastAsia="宋体" w:cs="宋体"/>
                <w:sz w:val="21"/>
                <w:szCs w:val="21"/>
                <w:lang w:val="zh-CN" w:eastAsia="zh-CN"/>
              </w:rPr>
            </w:pPr>
            <w:bookmarkStart w:id="10" w:name="No1783_T110K4X4"/>
            <w:bookmarkEnd w:id="10"/>
            <w:r>
              <w:rPr>
                <w:rFonts w:hint="eastAsia" w:cs="宋体"/>
                <w:sz w:val="21"/>
                <w:szCs w:val="21"/>
                <w:lang w:val="en-US" w:eastAsia="zh-CN"/>
              </w:rPr>
              <w:t>（四）</w:t>
            </w:r>
            <w:r>
              <w:rPr>
                <w:rFonts w:ascii="宋体" w:hAnsi="宋体" w:eastAsia="宋体" w:cs="宋体"/>
                <w:sz w:val="21"/>
                <w:szCs w:val="21"/>
                <w:lang w:val="zh-CN" w:eastAsia="zh-CN"/>
              </w:rPr>
              <w:t>违反规定生产、储存或者销售麻醉药品和精神药品，导致药品流弊的；</w:t>
            </w:r>
          </w:p>
          <w:p>
            <w:pPr>
              <w:pStyle w:val="11"/>
              <w:keepNext w:val="0"/>
              <w:keepLines w:val="0"/>
              <w:pageBreakBefore w:val="0"/>
              <w:kinsoku/>
              <w:wordWrap/>
              <w:overflowPunct/>
              <w:topLinePunct w:val="0"/>
              <w:autoSpaceDE w:val="0"/>
              <w:autoSpaceDN w:val="0"/>
              <w:bidi w:val="0"/>
              <w:adjustRightInd/>
              <w:snapToGrid/>
              <w:spacing w:line="220" w:lineRule="atLeast"/>
              <w:ind w:right="11"/>
              <w:jc w:val="both"/>
              <w:rPr>
                <w:rFonts w:hint="eastAsia" w:eastAsia="宋体"/>
                <w:sz w:val="21"/>
                <w:lang w:val="en-US" w:eastAsia="zh-CN"/>
              </w:rPr>
            </w:pPr>
            <w:bookmarkStart w:id="11" w:name="No1784_T110K4X5"/>
            <w:bookmarkEnd w:id="11"/>
            <w:r>
              <w:rPr>
                <w:rFonts w:hint="eastAsia" w:cs="宋体"/>
                <w:sz w:val="21"/>
                <w:szCs w:val="21"/>
                <w:lang w:val="en-US" w:eastAsia="zh-CN"/>
              </w:rPr>
              <w:t>（五）</w:t>
            </w:r>
            <w:r>
              <w:rPr>
                <w:rFonts w:ascii="宋体" w:hAnsi="宋体" w:eastAsia="宋体" w:cs="宋体"/>
                <w:sz w:val="21"/>
                <w:szCs w:val="21"/>
                <w:lang w:val="zh-CN" w:eastAsia="zh-CN"/>
              </w:rPr>
              <w:t>有《</w:t>
            </w:r>
            <w:r>
              <w:rPr>
                <w:rFonts w:ascii="宋体" w:hAnsi="宋体" w:eastAsia="宋体" w:cs="宋体"/>
                <w:sz w:val="21"/>
                <w:szCs w:val="21"/>
                <w:lang w:val="zh-CN" w:eastAsia="zh-CN"/>
              </w:rPr>
              <w:fldChar w:fldCharType="begin"/>
            </w:r>
            <w:r>
              <w:rPr>
                <w:rFonts w:ascii="宋体" w:hAnsi="宋体" w:eastAsia="宋体" w:cs="宋体"/>
                <w:sz w:val="21"/>
                <w:szCs w:val="21"/>
                <w:lang w:val="zh-CN" w:eastAsia="zh-CN"/>
              </w:rPr>
              <w:instrText xml:space="preserve"> HYPERLINK "https://law.wkinfo.com.cn/document/show?collection=legislation&amp;aid=MTAxMDAxMjQxOTQ%3D&amp;language=中文" </w:instrText>
            </w:r>
            <w:r>
              <w:rPr>
                <w:rFonts w:ascii="宋体" w:hAnsi="宋体" w:eastAsia="宋体" w:cs="宋体"/>
                <w:sz w:val="21"/>
                <w:szCs w:val="21"/>
                <w:lang w:val="zh-CN" w:eastAsia="zh-CN"/>
              </w:rPr>
              <w:fldChar w:fldCharType="separate"/>
            </w:r>
            <w:r>
              <w:rPr>
                <w:rFonts w:ascii="宋体" w:hAnsi="宋体" w:eastAsia="宋体" w:cs="宋体"/>
                <w:sz w:val="21"/>
                <w:szCs w:val="21"/>
                <w:lang w:val="zh-CN" w:eastAsia="zh-CN"/>
              </w:rPr>
              <w:t>麻醉药品和精神药品管理条例</w:t>
            </w:r>
            <w:r>
              <w:rPr>
                <w:rFonts w:ascii="宋体" w:hAnsi="宋体" w:eastAsia="宋体" w:cs="宋体"/>
                <w:sz w:val="21"/>
                <w:szCs w:val="21"/>
                <w:lang w:val="zh-CN" w:eastAsia="zh-CN"/>
              </w:rPr>
              <w:fldChar w:fldCharType="end"/>
            </w:r>
            <w:r>
              <w:rPr>
                <w:rFonts w:ascii="宋体" w:hAnsi="宋体" w:eastAsia="宋体" w:cs="宋体"/>
                <w:sz w:val="21"/>
                <w:szCs w:val="21"/>
                <w:lang w:val="zh-CN" w:eastAsia="zh-CN"/>
              </w:rPr>
              <w:t>》</w:t>
            </w:r>
            <w:r>
              <w:rPr>
                <w:rFonts w:ascii="宋体" w:hAnsi="宋体" w:eastAsia="宋体" w:cs="宋体"/>
                <w:sz w:val="21"/>
                <w:szCs w:val="21"/>
                <w:lang w:val="zh-CN" w:eastAsia="zh-CN"/>
              </w:rPr>
              <w:fldChar w:fldCharType="begin"/>
            </w:r>
            <w:r>
              <w:rPr>
                <w:rFonts w:ascii="宋体" w:hAnsi="宋体" w:eastAsia="宋体" w:cs="宋体"/>
                <w:sz w:val="21"/>
                <w:szCs w:val="21"/>
                <w:lang w:val="zh-CN" w:eastAsia="zh-CN"/>
              </w:rPr>
              <w:instrText xml:space="preserve"> HYPERLINK "https://law.wkinfo.com.cn/document/show?collection=legislation&amp;aid=MTAxMDAxMjQxOTQ%3D&amp;language=中文" \l "No219_Z8T67" </w:instrText>
            </w:r>
            <w:r>
              <w:rPr>
                <w:rFonts w:ascii="宋体" w:hAnsi="宋体" w:eastAsia="宋体" w:cs="宋体"/>
                <w:sz w:val="21"/>
                <w:szCs w:val="21"/>
                <w:lang w:val="zh-CN" w:eastAsia="zh-CN"/>
              </w:rPr>
              <w:fldChar w:fldCharType="separate"/>
            </w:r>
            <w:r>
              <w:rPr>
                <w:rFonts w:ascii="宋体" w:hAnsi="宋体" w:eastAsia="宋体" w:cs="宋体"/>
                <w:sz w:val="21"/>
                <w:szCs w:val="21"/>
                <w:lang w:val="zh-CN" w:eastAsia="zh-CN"/>
              </w:rPr>
              <w:t>第六十七条</w:t>
            </w:r>
            <w:r>
              <w:rPr>
                <w:rFonts w:ascii="宋体" w:hAnsi="宋体" w:eastAsia="宋体" w:cs="宋体"/>
                <w:sz w:val="21"/>
                <w:szCs w:val="21"/>
                <w:lang w:val="zh-CN" w:eastAsia="zh-CN"/>
              </w:rPr>
              <w:fldChar w:fldCharType="end"/>
            </w:r>
            <w:r>
              <w:rPr>
                <w:rFonts w:ascii="宋体" w:hAnsi="宋体" w:eastAsia="宋体" w:cs="宋体"/>
                <w:sz w:val="21"/>
                <w:szCs w:val="21"/>
                <w:lang w:val="zh-CN" w:eastAsia="zh-CN"/>
              </w:rPr>
              <w:t>所列3项以上情形的。</w:t>
            </w:r>
          </w:p>
        </w:tc>
      </w:tr>
    </w:tbl>
    <w:p>
      <w:pPr>
        <w:keepNext w:val="0"/>
        <w:keepLines w:val="0"/>
        <w:pageBreakBefore w:val="0"/>
        <w:kinsoku/>
        <w:wordWrap/>
        <w:overflowPunct/>
        <w:topLinePunct w:val="0"/>
        <w:bidi w:val="0"/>
        <w:adjustRightInd/>
        <w:spacing w:line="240" w:lineRule="auto"/>
        <w:jc w:val="center"/>
        <w:rPr>
          <w:sz w:val="2"/>
          <w:szCs w:val="2"/>
        </w:rPr>
        <w:sectPr>
          <w:pgSz w:w="16838" w:h="11906" w:orient="landscape"/>
          <w:pgMar w:top="1800" w:right="1440" w:bottom="1800" w:left="1440" w:header="851" w:footer="992" w:gutter="0"/>
          <w:pgNumType w:fmt="decimal"/>
          <w:cols w:space="425" w:num="1"/>
          <w:docGrid w:type="lines" w:linePitch="312" w:charSpace="0"/>
        </w:sectPr>
      </w:pPr>
    </w:p>
    <w:tbl>
      <w:tblPr>
        <w:tblStyle w:val="8"/>
        <w:tblpPr w:leftFromText="180" w:rightFromText="180" w:vertAnchor="page" w:horzAnchor="page" w:tblpX="1568" w:tblpY="2293"/>
        <w:tblOverlap w:val="never"/>
        <w:tblW w:w="504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72"/>
        <w:gridCol w:w="1636"/>
        <w:gridCol w:w="2821"/>
        <w:gridCol w:w="3077"/>
        <w:gridCol w:w="2962"/>
        <w:gridCol w:w="3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 w:hRule="atLeast"/>
        </w:trPr>
        <w:tc>
          <w:tcPr>
            <w:tcW w:w="203" w:type="pct"/>
            <w:vMerge w:val="restart"/>
            <w:tcBorders>
              <w:top w:val="single" w:color="auto" w:sz="4" w:space="0"/>
              <w:bottom w:val="nil"/>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default" w:eastAsia="宋体"/>
                <w:b/>
                <w:sz w:val="21"/>
                <w:lang w:val="en-US" w:eastAsia="zh-CN"/>
              </w:rPr>
            </w:pPr>
            <w:r>
              <w:rPr>
                <w:rFonts w:hint="eastAsia"/>
                <w:b/>
                <w:sz w:val="21"/>
                <w:lang w:val="en-US" w:eastAsia="zh-CN"/>
              </w:rPr>
              <w:t>42</w:t>
            </w:r>
          </w:p>
        </w:tc>
        <w:tc>
          <w:tcPr>
            <w:tcW w:w="580" w:type="pct"/>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auto"/>
              <w:ind w:right="0" w:firstLine="421" w:firstLineChars="200"/>
              <w:jc w:val="both"/>
              <w:textAlignment w:val="auto"/>
              <w:rPr>
                <w:rFonts w:hint="eastAsia" w:ascii="Microsoft JhengHei"/>
                <w:b/>
                <w:sz w:val="21"/>
                <w:lang w:val="en-US" w:eastAsia="zh-CN"/>
              </w:rPr>
            </w:pPr>
            <w:r>
              <w:rPr>
                <w:rFonts w:hint="eastAsia" w:ascii="Microsoft JhengHei"/>
                <w:b/>
                <w:sz w:val="21"/>
                <w:lang w:val="en-US" w:eastAsia="zh-CN"/>
              </w:rPr>
              <w:t>裁量条款</w:t>
            </w:r>
          </w:p>
        </w:tc>
        <w:tc>
          <w:tcPr>
            <w:tcW w:w="4215" w:type="pct"/>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hint="eastAsia" w:ascii="Microsoft JhengHei"/>
                <w:b/>
                <w:sz w:val="21"/>
                <w:lang w:val="en-US" w:eastAsia="zh-CN"/>
              </w:rPr>
            </w:pPr>
            <w:r>
              <w:rPr>
                <w:rFonts w:hint="eastAsia" w:ascii="Microsoft JhengHei"/>
                <w:b/>
                <w:sz w:val="21"/>
                <w:lang w:val="en-US" w:eastAsia="zh-CN"/>
              </w:rPr>
              <w:t>第四十二条  本条是对《麻醉药品和精神药品管理条例》第六十八条“并处违法销售药品货值金额2倍以上5倍以下的罚款”裁量基准的规定。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03"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80" w:type="pct"/>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val="en-US" w:eastAsia="zh-CN"/>
              </w:rPr>
            </w:pPr>
            <w:r>
              <w:rPr>
                <w:rFonts w:hint="eastAsia" w:ascii="Microsoft JhengHei"/>
                <w:b/>
                <w:sz w:val="21"/>
                <w:lang w:val="en-US" w:eastAsia="zh-CN"/>
              </w:rPr>
              <w:t>关联法条</w:t>
            </w:r>
          </w:p>
        </w:tc>
        <w:tc>
          <w:tcPr>
            <w:tcW w:w="4215" w:type="pct"/>
            <w:gridSpan w:val="4"/>
            <w:tcBorders>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eastAsia"/>
                <w:sz w:val="21"/>
              </w:rPr>
            </w:pPr>
            <w:r>
              <w:rPr>
                <w:rFonts w:hint="eastAsia"/>
                <w:sz w:val="21"/>
                <w:lang w:val="en-US" w:eastAsia="zh-CN"/>
              </w:rPr>
              <w:t>《麻醉药品和精神药品管理条例》第六十八条 定点批发企业违反本条例的规定销售麻醉药品和精神药品，或者违反本条例的规定经营麻醉药品原料药和第一类精神药品原料药的，由药品监督管理部门责令限期改正，给予警告，并没收违法所得和违法销售的药品；逾期不改正的，责令停业，并处违法销售药品货值金额2倍以上5倍以下的罚款；情节严重的，取消其定点批发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203"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80"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eastAsia="zh-CN"/>
              </w:rPr>
            </w:pPr>
            <w:r>
              <w:rPr>
                <w:rFonts w:hint="eastAsia" w:ascii="Microsoft JhengHei"/>
                <w:b/>
                <w:sz w:val="21"/>
                <w:lang w:eastAsia="zh-CN"/>
              </w:rPr>
              <w:t>裁量等级</w:t>
            </w:r>
          </w:p>
        </w:tc>
        <w:tc>
          <w:tcPr>
            <w:tcW w:w="1000"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减轻处罚幅度</w:t>
            </w:r>
          </w:p>
        </w:tc>
        <w:tc>
          <w:tcPr>
            <w:tcW w:w="1091"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从轻处罚幅度</w:t>
            </w:r>
          </w:p>
        </w:tc>
        <w:tc>
          <w:tcPr>
            <w:tcW w:w="1050"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一般处罚幅度</w:t>
            </w:r>
          </w:p>
        </w:tc>
        <w:tc>
          <w:tcPr>
            <w:tcW w:w="1073"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9" w:hRule="atLeast"/>
        </w:trPr>
        <w:tc>
          <w:tcPr>
            <w:tcW w:w="203"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80"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eastAsia="zh-CN"/>
              </w:rPr>
            </w:pPr>
            <w:r>
              <w:rPr>
                <w:rFonts w:hint="eastAsia" w:ascii="Microsoft JhengHei"/>
                <w:b/>
                <w:sz w:val="21"/>
                <w:lang w:eastAsia="zh-CN"/>
              </w:rPr>
              <w:t>裁量基准</w:t>
            </w:r>
          </w:p>
        </w:tc>
        <w:tc>
          <w:tcPr>
            <w:tcW w:w="1000"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p>
        </w:tc>
        <w:tc>
          <w:tcPr>
            <w:tcW w:w="1091"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从轻行政处罚，处违法销售药品货值金额2倍至2.9倍的罚款。</w:t>
            </w:r>
          </w:p>
        </w:tc>
        <w:tc>
          <w:tcPr>
            <w:tcW w:w="1050"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一般行政处罚，处违法销售药品货值金额2.9倍以上4.1倍以下的罚款。</w:t>
            </w:r>
          </w:p>
        </w:tc>
        <w:tc>
          <w:tcPr>
            <w:tcW w:w="1073"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从重行政处罚，处违法销售药品货值金额4.1倍至5倍以下的罚款。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8" w:hRule="atLeast"/>
        </w:trPr>
        <w:tc>
          <w:tcPr>
            <w:tcW w:w="203"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80" w:type="pct"/>
            <w:tcBorders>
              <w:top w:val="single" w:color="000000" w:sz="8" w:space="0"/>
              <w:left w:val="single" w:color="000000" w:sz="8" w:space="0"/>
              <w:right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2" w:line="240" w:lineRule="exact"/>
              <w:ind w:left="17" w:leftChars="0" w:right="11" w:rightChars="0"/>
              <w:jc w:val="both"/>
              <w:textAlignment w:val="auto"/>
              <w:rPr>
                <w:rFonts w:hint="eastAsia" w:eastAsia="宋体"/>
                <w:lang w:val="en-US" w:eastAsia="zh-CN"/>
              </w:rPr>
            </w:pPr>
            <w:r>
              <w:rPr>
                <w:rFonts w:hint="eastAsia" w:ascii="Microsoft JhengHei" w:eastAsia="Microsoft JhengHei"/>
                <w:b/>
                <w:sz w:val="21"/>
                <w:lang w:val="en-US" w:eastAsia="zh-CN"/>
              </w:rPr>
              <w:t>裁量因素</w:t>
            </w:r>
            <w:r>
              <w:rPr>
                <w:rFonts w:hint="eastAsia" w:ascii="Microsoft JhengHei" w:eastAsia="Microsoft JhengHei"/>
                <w:b w:val="0"/>
                <w:bCs/>
                <w:sz w:val="21"/>
                <w:lang w:val="en-US" w:eastAsia="zh-CN"/>
              </w:rPr>
              <w:t>（是指在进行裁量时，除裁量规则规定的从轻、减轻、从重情形外，可以考虑的因素）</w:t>
            </w:r>
          </w:p>
        </w:tc>
        <w:tc>
          <w:tcPr>
            <w:tcW w:w="4215" w:type="pct"/>
            <w:gridSpan w:val="4"/>
            <w:tcBorders>
              <w:top w:val="single" w:color="000000" w:sz="8" w:space="0"/>
              <w:left w:val="single" w:color="auto" w:sz="4" w:space="0"/>
              <w:bottom w:val="single" w:color="auto" w:sz="4"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auto"/>
              <w:ind w:right="0"/>
              <w:jc w:val="both"/>
              <w:textAlignment w:val="auto"/>
              <w:rPr>
                <w:rFonts w:hint="default" w:cs="宋体"/>
                <w:b w:val="0"/>
                <w:bCs w:val="0"/>
                <w:color w:val="000000"/>
                <w:kern w:val="0"/>
                <w:sz w:val="20"/>
                <w:szCs w:val="20"/>
                <w:lang w:val="en-US" w:eastAsia="zh-CN" w:bidi="ar"/>
              </w:rPr>
            </w:pPr>
            <w:r>
              <w:rPr>
                <w:rFonts w:hint="eastAsia" w:ascii="宋体" w:hAnsi="宋体" w:eastAsia="宋体" w:cs="宋体"/>
                <w:b/>
                <w:bCs/>
                <w:color w:val="000000"/>
                <w:kern w:val="0"/>
                <w:sz w:val="21"/>
                <w:szCs w:val="21"/>
                <w:lang w:val="en-US" w:eastAsia="zh-CN" w:bidi="ar"/>
              </w:rPr>
              <w:t>从重处罚考虑因素：</w:t>
            </w:r>
            <w:r>
              <w:rPr>
                <w:rFonts w:hint="eastAsia" w:cs="宋体"/>
                <w:b w:val="0"/>
                <w:bCs w:val="0"/>
                <w:color w:val="000000"/>
                <w:kern w:val="0"/>
                <w:sz w:val="21"/>
                <w:szCs w:val="21"/>
                <w:lang w:val="en-US" w:eastAsia="zh-CN" w:bidi="ar"/>
              </w:rPr>
              <w:t>造成麻醉药品或者精神药品流弊的。</w:t>
            </w:r>
          </w:p>
        </w:tc>
      </w:tr>
    </w:tbl>
    <w:p/>
    <w:p/>
    <w:p/>
    <w:tbl>
      <w:tblPr>
        <w:tblStyle w:val="8"/>
        <w:tblW w:w="502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02"/>
        <w:gridCol w:w="1634"/>
        <w:gridCol w:w="2836"/>
        <w:gridCol w:w="3078"/>
        <w:gridCol w:w="2949"/>
        <w:gridCol w:w="28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50" w:type="pct"/>
            <w:vMerge w:val="restart"/>
            <w:tcBorders>
              <w:top w:val="single" w:color="auto" w:sz="4" w:space="0"/>
              <w:bottom w:val="nil"/>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ind w:left="14"/>
              <w:jc w:val="center"/>
              <w:rPr>
                <w:rFonts w:hint="default" w:eastAsia="宋体"/>
                <w:b/>
                <w:sz w:val="21"/>
                <w:lang w:val="en-US" w:eastAsia="zh-CN"/>
              </w:rPr>
            </w:pPr>
            <w:r>
              <w:rPr>
                <w:rFonts w:hint="eastAsia"/>
                <w:b/>
                <w:sz w:val="21"/>
                <w:lang w:val="en-US" w:eastAsia="zh-CN"/>
              </w:rPr>
              <w:t>43</w:t>
            </w:r>
          </w:p>
        </w:tc>
        <w:tc>
          <w:tcPr>
            <w:tcW w:w="582" w:type="pct"/>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eastAsia="宋体"/>
                <w:b/>
                <w:sz w:val="21"/>
                <w:lang w:eastAsia="zh-CN"/>
              </w:rPr>
            </w:pPr>
            <w:r>
              <w:rPr>
                <w:rFonts w:hint="eastAsia" w:ascii="Microsoft JhengHei"/>
                <w:b/>
                <w:sz w:val="21"/>
                <w:lang w:eastAsia="zh-CN"/>
              </w:rPr>
              <w:t>裁量条款</w:t>
            </w:r>
          </w:p>
        </w:tc>
        <w:tc>
          <w:tcPr>
            <w:tcW w:w="4167" w:type="pct"/>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ascii="Microsoft JhengHei"/>
                <w:b/>
                <w:sz w:val="21"/>
                <w:lang w:val="en-US"/>
              </w:rPr>
            </w:pPr>
            <w:r>
              <w:rPr>
                <w:rFonts w:hint="eastAsia" w:ascii="Microsoft JhengHei"/>
                <w:b/>
                <w:sz w:val="21"/>
                <w:lang w:val="en-US" w:eastAsia="zh-CN"/>
              </w:rPr>
              <w:t>第四十三条  本条是对《麻醉药品和精神药品管理条例》第六十九条“并处2万元以上5万元以下的罚款”裁量基准的规定。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50"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82" w:type="pct"/>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val="en-US" w:eastAsia="zh-CN"/>
              </w:rPr>
            </w:pPr>
            <w:r>
              <w:rPr>
                <w:rFonts w:hint="eastAsia" w:ascii="Microsoft JhengHei"/>
                <w:b/>
                <w:sz w:val="21"/>
                <w:lang w:val="en-US" w:eastAsia="zh-CN"/>
              </w:rPr>
              <w:t>关联法条</w:t>
            </w:r>
          </w:p>
        </w:tc>
        <w:tc>
          <w:tcPr>
            <w:tcW w:w="4167" w:type="pct"/>
            <w:gridSpan w:val="4"/>
            <w:tcBorders>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line="288" w:lineRule="auto"/>
              <w:ind w:right="0" w:firstLine="420" w:firstLineChars="200"/>
              <w:jc w:val="both"/>
              <w:textAlignment w:val="auto"/>
              <w:rPr>
                <w:rFonts w:hint="eastAsia"/>
                <w:sz w:val="21"/>
                <w:lang w:val="en-US" w:eastAsia="zh-CN"/>
              </w:rPr>
            </w:pPr>
            <w:r>
              <w:rPr>
                <w:rFonts w:hint="eastAsia"/>
                <w:sz w:val="21"/>
                <w:lang w:val="en-US" w:eastAsia="zh-CN"/>
              </w:rPr>
              <w:t>《麻醉药品和精神药品管理条例》第六十九条 定点批发企业违反本条例的规定，有下列情形之一的，由药品监督管理部门责令限期改正，给予警告；逾期不改正的，责令停业，并处2万元以上5万元以下的罚款；情节严重的，取消其定点批发资格：</w:t>
            </w:r>
          </w:p>
          <w:p>
            <w:pPr>
              <w:pStyle w:val="11"/>
              <w:keepNext w:val="0"/>
              <w:keepLines w:val="0"/>
              <w:pageBreakBefore w:val="0"/>
              <w:widowControl w:val="0"/>
              <w:kinsoku/>
              <w:wordWrap/>
              <w:overflowPunct/>
              <w:topLinePunct w:val="0"/>
              <w:autoSpaceDE w:val="0"/>
              <w:autoSpaceDN w:val="0"/>
              <w:bidi w:val="0"/>
              <w:adjustRightInd/>
              <w:snapToGrid/>
              <w:spacing w:line="288" w:lineRule="auto"/>
              <w:ind w:right="0" w:firstLine="420" w:firstLineChars="200"/>
              <w:jc w:val="both"/>
              <w:textAlignment w:val="auto"/>
              <w:rPr>
                <w:rFonts w:hint="eastAsia"/>
                <w:sz w:val="21"/>
                <w:lang w:val="en-US" w:eastAsia="zh-CN"/>
              </w:rPr>
            </w:pPr>
            <w:r>
              <w:rPr>
                <w:rFonts w:hint="eastAsia"/>
                <w:sz w:val="21"/>
                <w:lang w:val="en-US" w:eastAsia="zh-CN"/>
              </w:rPr>
              <w:t>(一)未依照规定购进麻醉药品和第一类精神药品的；</w:t>
            </w:r>
          </w:p>
          <w:p>
            <w:pPr>
              <w:pStyle w:val="11"/>
              <w:keepNext w:val="0"/>
              <w:keepLines w:val="0"/>
              <w:pageBreakBefore w:val="0"/>
              <w:widowControl w:val="0"/>
              <w:kinsoku/>
              <w:wordWrap/>
              <w:overflowPunct/>
              <w:topLinePunct w:val="0"/>
              <w:autoSpaceDE w:val="0"/>
              <w:autoSpaceDN w:val="0"/>
              <w:bidi w:val="0"/>
              <w:adjustRightInd/>
              <w:snapToGrid/>
              <w:spacing w:line="288" w:lineRule="auto"/>
              <w:ind w:right="0" w:firstLine="420" w:firstLineChars="200"/>
              <w:jc w:val="both"/>
              <w:textAlignment w:val="auto"/>
              <w:rPr>
                <w:rFonts w:hint="eastAsia"/>
                <w:sz w:val="21"/>
                <w:lang w:val="en-US" w:eastAsia="zh-CN"/>
              </w:rPr>
            </w:pPr>
            <w:r>
              <w:rPr>
                <w:rFonts w:hint="eastAsia"/>
                <w:sz w:val="21"/>
                <w:lang w:val="en-US" w:eastAsia="zh-CN"/>
              </w:rPr>
              <w:t>(二)未保证供药责任区域内的麻醉药品和第一类精神药品的供应的；</w:t>
            </w:r>
          </w:p>
          <w:p>
            <w:pPr>
              <w:pStyle w:val="11"/>
              <w:keepNext w:val="0"/>
              <w:keepLines w:val="0"/>
              <w:pageBreakBefore w:val="0"/>
              <w:widowControl w:val="0"/>
              <w:kinsoku/>
              <w:wordWrap/>
              <w:overflowPunct/>
              <w:topLinePunct w:val="0"/>
              <w:autoSpaceDE w:val="0"/>
              <w:autoSpaceDN w:val="0"/>
              <w:bidi w:val="0"/>
              <w:adjustRightInd/>
              <w:snapToGrid/>
              <w:spacing w:line="288" w:lineRule="auto"/>
              <w:ind w:right="0" w:firstLine="420" w:firstLineChars="200"/>
              <w:jc w:val="both"/>
              <w:textAlignment w:val="auto"/>
              <w:rPr>
                <w:rFonts w:hint="eastAsia"/>
                <w:sz w:val="21"/>
                <w:lang w:val="en-US" w:eastAsia="zh-CN"/>
              </w:rPr>
            </w:pPr>
            <w:r>
              <w:rPr>
                <w:rFonts w:hint="eastAsia"/>
                <w:sz w:val="21"/>
                <w:lang w:val="en-US" w:eastAsia="zh-CN"/>
              </w:rPr>
              <w:t>(三)未对医疗机构履行送货义务的；</w:t>
            </w:r>
          </w:p>
          <w:p>
            <w:pPr>
              <w:pStyle w:val="11"/>
              <w:keepNext w:val="0"/>
              <w:keepLines w:val="0"/>
              <w:pageBreakBefore w:val="0"/>
              <w:widowControl w:val="0"/>
              <w:kinsoku/>
              <w:wordWrap/>
              <w:overflowPunct/>
              <w:topLinePunct w:val="0"/>
              <w:autoSpaceDE w:val="0"/>
              <w:autoSpaceDN w:val="0"/>
              <w:bidi w:val="0"/>
              <w:adjustRightInd/>
              <w:snapToGrid/>
              <w:spacing w:line="288" w:lineRule="auto"/>
              <w:ind w:right="0" w:firstLine="420" w:firstLineChars="200"/>
              <w:jc w:val="both"/>
              <w:textAlignment w:val="auto"/>
              <w:rPr>
                <w:rFonts w:hint="eastAsia"/>
                <w:sz w:val="21"/>
                <w:lang w:val="en-US" w:eastAsia="zh-CN"/>
              </w:rPr>
            </w:pPr>
            <w:r>
              <w:rPr>
                <w:rFonts w:hint="eastAsia"/>
                <w:sz w:val="21"/>
                <w:lang w:val="en-US" w:eastAsia="zh-CN"/>
              </w:rPr>
              <w:t>(四)未依照规定报告麻醉药品和精神药品的进货、销售、库存数量以及流向的；</w:t>
            </w:r>
          </w:p>
          <w:p>
            <w:pPr>
              <w:pStyle w:val="11"/>
              <w:keepNext w:val="0"/>
              <w:keepLines w:val="0"/>
              <w:pageBreakBefore w:val="0"/>
              <w:widowControl w:val="0"/>
              <w:kinsoku/>
              <w:wordWrap/>
              <w:overflowPunct/>
              <w:topLinePunct w:val="0"/>
              <w:autoSpaceDE w:val="0"/>
              <w:autoSpaceDN w:val="0"/>
              <w:bidi w:val="0"/>
              <w:adjustRightInd/>
              <w:snapToGrid/>
              <w:spacing w:line="288" w:lineRule="auto"/>
              <w:ind w:right="0" w:firstLine="420" w:firstLineChars="200"/>
              <w:jc w:val="both"/>
              <w:textAlignment w:val="auto"/>
              <w:rPr>
                <w:rFonts w:hint="eastAsia"/>
                <w:sz w:val="21"/>
                <w:lang w:val="en-US" w:eastAsia="zh-CN"/>
              </w:rPr>
            </w:pPr>
            <w:r>
              <w:rPr>
                <w:rFonts w:hint="eastAsia"/>
                <w:sz w:val="21"/>
                <w:lang w:val="en-US" w:eastAsia="zh-CN"/>
              </w:rPr>
              <w:t>(五)未依照规定储存麻醉药品和精神药品，或者未依照规定建立、保存专用账册的；</w:t>
            </w:r>
          </w:p>
          <w:p>
            <w:pPr>
              <w:pStyle w:val="11"/>
              <w:keepNext w:val="0"/>
              <w:keepLines w:val="0"/>
              <w:pageBreakBefore w:val="0"/>
              <w:widowControl w:val="0"/>
              <w:kinsoku/>
              <w:wordWrap/>
              <w:overflowPunct/>
              <w:topLinePunct w:val="0"/>
              <w:autoSpaceDE w:val="0"/>
              <w:autoSpaceDN w:val="0"/>
              <w:bidi w:val="0"/>
              <w:adjustRightInd/>
              <w:snapToGrid/>
              <w:spacing w:line="288" w:lineRule="auto"/>
              <w:ind w:right="0" w:firstLine="420" w:firstLineChars="200"/>
              <w:jc w:val="both"/>
              <w:textAlignment w:val="auto"/>
              <w:rPr>
                <w:rFonts w:hint="eastAsia"/>
                <w:sz w:val="21"/>
                <w:lang w:val="en-US" w:eastAsia="zh-CN"/>
              </w:rPr>
            </w:pPr>
            <w:r>
              <w:rPr>
                <w:rFonts w:hint="eastAsia"/>
                <w:sz w:val="21"/>
                <w:lang w:val="en-US" w:eastAsia="zh-CN"/>
              </w:rPr>
              <w:t>(六)未依照规定销毁麻醉药品和精神药品的；</w:t>
            </w:r>
          </w:p>
          <w:p>
            <w:pPr>
              <w:pStyle w:val="11"/>
              <w:keepNext w:val="0"/>
              <w:keepLines w:val="0"/>
              <w:pageBreakBefore w:val="0"/>
              <w:widowControl w:val="0"/>
              <w:kinsoku/>
              <w:wordWrap/>
              <w:overflowPunct/>
              <w:topLinePunct w:val="0"/>
              <w:autoSpaceDE w:val="0"/>
              <w:autoSpaceDN w:val="0"/>
              <w:bidi w:val="0"/>
              <w:adjustRightInd/>
              <w:snapToGrid/>
              <w:spacing w:after="157" w:afterLines="50" w:line="288" w:lineRule="auto"/>
              <w:ind w:right="0" w:firstLine="420" w:firstLineChars="200"/>
              <w:jc w:val="both"/>
              <w:textAlignment w:val="auto"/>
              <w:rPr>
                <w:rFonts w:hint="eastAsia"/>
                <w:sz w:val="21"/>
              </w:rPr>
            </w:pPr>
            <w:r>
              <w:rPr>
                <w:rFonts w:hint="eastAsia"/>
                <w:sz w:val="21"/>
                <w:lang w:val="en-US" w:eastAsia="zh-CN"/>
              </w:rPr>
              <w:t>(七)区域性批发企业之间违反本条例的规定调剂麻醉药品和第一类精神药品，或者因特殊情况调剂麻醉药品和第一类精神药品后未依照规定备案的。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250"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82"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eastAsia="zh-CN"/>
              </w:rPr>
            </w:pPr>
            <w:r>
              <w:rPr>
                <w:rFonts w:hint="eastAsia" w:ascii="Microsoft JhengHei"/>
                <w:b/>
                <w:sz w:val="21"/>
                <w:lang w:eastAsia="zh-CN"/>
              </w:rPr>
              <w:t>裁量等级</w:t>
            </w:r>
          </w:p>
        </w:tc>
        <w:tc>
          <w:tcPr>
            <w:tcW w:w="1010"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减轻处罚幅度</w:t>
            </w:r>
          </w:p>
        </w:tc>
        <w:tc>
          <w:tcPr>
            <w:tcW w:w="1096"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从轻处罚幅度</w:t>
            </w:r>
          </w:p>
        </w:tc>
        <w:tc>
          <w:tcPr>
            <w:tcW w:w="1050"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一般处罚幅度</w:t>
            </w:r>
          </w:p>
        </w:tc>
        <w:tc>
          <w:tcPr>
            <w:tcW w:w="1010"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250"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82"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eastAsia="zh-CN"/>
              </w:rPr>
            </w:pPr>
            <w:r>
              <w:rPr>
                <w:rFonts w:hint="eastAsia" w:ascii="Microsoft JhengHei"/>
                <w:b/>
                <w:sz w:val="21"/>
                <w:lang w:eastAsia="zh-CN"/>
              </w:rPr>
              <w:t>裁量基准</w:t>
            </w:r>
          </w:p>
        </w:tc>
        <w:tc>
          <w:tcPr>
            <w:tcW w:w="1010"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p>
        </w:tc>
        <w:tc>
          <w:tcPr>
            <w:tcW w:w="1096"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zh-CN" w:eastAsia="zh-CN"/>
              </w:rPr>
            </w:pPr>
            <w:r>
              <w:rPr>
                <w:rFonts w:hint="eastAsia"/>
                <w:sz w:val="21"/>
                <w:lang w:val="zh-CN" w:eastAsia="zh-CN"/>
              </w:rPr>
              <w:t>从轻行政处罚，处</w:t>
            </w:r>
            <w:r>
              <w:rPr>
                <w:rFonts w:hint="eastAsia"/>
                <w:sz w:val="21"/>
                <w:lang w:val="en-US" w:eastAsia="zh-CN"/>
              </w:rPr>
              <w:t>2</w:t>
            </w:r>
            <w:r>
              <w:rPr>
                <w:rFonts w:hint="eastAsia"/>
                <w:sz w:val="21"/>
                <w:lang w:val="zh-CN" w:eastAsia="zh-CN"/>
              </w:rPr>
              <w:t>万元至</w:t>
            </w:r>
            <w:r>
              <w:rPr>
                <w:rFonts w:hint="eastAsia"/>
                <w:sz w:val="21"/>
                <w:lang w:val="en-US" w:eastAsia="zh-CN"/>
              </w:rPr>
              <w:t>2.9</w:t>
            </w:r>
            <w:r>
              <w:rPr>
                <w:rFonts w:hint="eastAsia"/>
                <w:sz w:val="21"/>
                <w:lang w:val="zh-CN" w:eastAsia="zh-CN"/>
              </w:rPr>
              <w:t>万元的罚款。</w:t>
            </w:r>
          </w:p>
        </w:tc>
        <w:tc>
          <w:tcPr>
            <w:tcW w:w="1050"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zh-CN" w:eastAsia="zh-CN"/>
              </w:rPr>
            </w:pPr>
            <w:r>
              <w:rPr>
                <w:rFonts w:hint="eastAsia"/>
                <w:sz w:val="21"/>
                <w:lang w:val="zh-CN" w:eastAsia="zh-CN"/>
              </w:rPr>
              <w:t>一般行政处罚，处</w:t>
            </w:r>
            <w:r>
              <w:rPr>
                <w:rFonts w:hint="eastAsia"/>
                <w:sz w:val="21"/>
                <w:lang w:val="en-US" w:eastAsia="zh-CN"/>
              </w:rPr>
              <w:t>2.9</w:t>
            </w:r>
            <w:r>
              <w:rPr>
                <w:rFonts w:hint="eastAsia"/>
                <w:sz w:val="21"/>
                <w:lang w:val="zh-CN" w:eastAsia="zh-CN"/>
              </w:rPr>
              <w:t>万元以上</w:t>
            </w:r>
            <w:r>
              <w:rPr>
                <w:rFonts w:hint="eastAsia"/>
                <w:sz w:val="21"/>
                <w:lang w:val="en-US" w:eastAsia="zh-CN"/>
              </w:rPr>
              <w:t>4.1</w:t>
            </w:r>
            <w:r>
              <w:rPr>
                <w:rFonts w:hint="eastAsia"/>
                <w:sz w:val="21"/>
                <w:lang w:val="zh-CN" w:eastAsia="zh-CN"/>
              </w:rPr>
              <w:t>万元以下的罚款。</w:t>
            </w:r>
          </w:p>
        </w:tc>
        <w:tc>
          <w:tcPr>
            <w:tcW w:w="1010"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zh-CN" w:eastAsia="zh-CN"/>
              </w:rPr>
            </w:pPr>
            <w:r>
              <w:rPr>
                <w:rFonts w:hint="eastAsia"/>
                <w:sz w:val="21"/>
                <w:lang w:val="zh-CN" w:eastAsia="zh-CN"/>
              </w:rPr>
              <w:t>从重行政处罚，处</w:t>
            </w:r>
            <w:r>
              <w:rPr>
                <w:rFonts w:hint="eastAsia"/>
                <w:sz w:val="21"/>
                <w:lang w:val="en-US" w:eastAsia="zh-CN"/>
              </w:rPr>
              <w:t>4.1</w:t>
            </w:r>
            <w:r>
              <w:rPr>
                <w:rFonts w:hint="eastAsia"/>
                <w:sz w:val="21"/>
                <w:lang w:val="zh-CN" w:eastAsia="zh-CN"/>
              </w:rPr>
              <w:t>万元至</w:t>
            </w:r>
            <w:r>
              <w:rPr>
                <w:rFonts w:hint="eastAsia"/>
                <w:sz w:val="21"/>
                <w:lang w:val="en-US" w:eastAsia="zh-CN"/>
              </w:rPr>
              <w:t>5</w:t>
            </w:r>
            <w:r>
              <w:rPr>
                <w:rFonts w:hint="eastAsia"/>
                <w:sz w:val="21"/>
                <w:lang w:val="zh-CN" w:eastAsia="zh-CN"/>
              </w:rPr>
              <w:t>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0" w:hRule="atLeast"/>
        </w:trPr>
        <w:tc>
          <w:tcPr>
            <w:tcW w:w="250"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82" w:type="pct"/>
            <w:tcBorders>
              <w:top w:val="single" w:color="000000" w:sz="8" w:space="0"/>
              <w:left w:val="single" w:color="000000" w:sz="8" w:space="0"/>
              <w:right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2" w:line="240" w:lineRule="exact"/>
              <w:ind w:left="17" w:leftChars="0" w:right="11" w:rightChars="0"/>
              <w:jc w:val="both"/>
              <w:textAlignment w:val="auto"/>
              <w:rPr>
                <w:rFonts w:hint="eastAsia" w:eastAsia="宋体"/>
                <w:lang w:val="en-US" w:eastAsia="zh-CN"/>
              </w:rPr>
            </w:pPr>
            <w:r>
              <w:rPr>
                <w:rFonts w:hint="eastAsia" w:ascii="Microsoft JhengHei" w:eastAsia="Microsoft JhengHei"/>
                <w:b/>
                <w:sz w:val="21"/>
                <w:lang w:val="en-US" w:eastAsia="zh-CN"/>
              </w:rPr>
              <w:t>裁量因素</w:t>
            </w:r>
            <w:r>
              <w:rPr>
                <w:rFonts w:hint="eastAsia" w:ascii="Microsoft JhengHei" w:eastAsia="Microsoft JhengHei"/>
                <w:b w:val="0"/>
                <w:bCs/>
                <w:sz w:val="21"/>
                <w:lang w:val="en-US" w:eastAsia="zh-CN"/>
              </w:rPr>
              <w:t>（是指在进行裁量时，除裁量规则规定的从轻、减轻、从重情形外，可以考虑的因素）</w:t>
            </w:r>
          </w:p>
        </w:tc>
        <w:tc>
          <w:tcPr>
            <w:tcW w:w="4167" w:type="pct"/>
            <w:gridSpan w:val="4"/>
            <w:tcBorders>
              <w:top w:val="single" w:color="000000" w:sz="8" w:space="0"/>
              <w:left w:val="single" w:color="auto" w:sz="4" w:space="0"/>
              <w:bottom w:val="single" w:color="auto" w:sz="4" w:space="0"/>
              <w:right w:val="single" w:color="000000" w:sz="8" w:space="0"/>
            </w:tcBorders>
            <w:noWrap w:val="0"/>
            <w:vAlign w:val="center"/>
          </w:tcPr>
          <w:p>
            <w:pPr>
              <w:pStyle w:val="12"/>
              <w:keepNext w:val="0"/>
              <w:keepLines w:val="0"/>
              <w:pageBreakBefore w:val="0"/>
              <w:kinsoku/>
              <w:wordWrap/>
              <w:overflowPunct/>
              <w:topLinePunct w:val="0"/>
              <w:bidi w:val="0"/>
              <w:adjustRightInd/>
              <w:spacing w:line="240" w:lineRule="auto"/>
              <w:ind w:firstLine="0"/>
              <w:jc w:val="both"/>
              <w:textAlignment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从重处罚考虑因素：</w:t>
            </w:r>
          </w:p>
          <w:p>
            <w:pPr>
              <w:pStyle w:val="11"/>
              <w:keepNext w:val="0"/>
              <w:keepLines w:val="0"/>
              <w:pageBreakBefore w:val="0"/>
              <w:widowControl w:val="0"/>
              <w:kinsoku/>
              <w:wordWrap/>
              <w:overflowPunct/>
              <w:topLinePunct w:val="0"/>
              <w:autoSpaceDE w:val="0"/>
              <w:autoSpaceDN w:val="0"/>
              <w:bidi w:val="0"/>
              <w:adjustRightInd/>
              <w:snapToGrid/>
              <w:spacing w:line="240" w:lineRule="auto"/>
              <w:ind w:right="0" w:rightChars="0"/>
              <w:jc w:val="both"/>
              <w:textAlignment w:val="auto"/>
              <w:rPr>
                <w:rFonts w:hint="eastAsia" w:cs="宋体"/>
                <w:b w:val="0"/>
                <w:bCs w:val="0"/>
                <w:color w:val="000000"/>
                <w:kern w:val="0"/>
                <w:sz w:val="21"/>
                <w:szCs w:val="21"/>
                <w:lang w:val="en-US" w:eastAsia="zh-CN" w:bidi="ar"/>
              </w:rPr>
            </w:pPr>
            <w:r>
              <w:rPr>
                <w:rFonts w:hint="eastAsia" w:cs="宋体"/>
                <w:b w:val="0"/>
                <w:bCs w:val="0"/>
                <w:color w:val="000000"/>
                <w:kern w:val="0"/>
                <w:sz w:val="21"/>
                <w:szCs w:val="21"/>
                <w:lang w:val="en-US" w:eastAsia="zh-CN" w:bidi="ar"/>
              </w:rPr>
              <w:t>（一）造成麻醉药品或者精神药品流弊的；</w:t>
            </w:r>
          </w:p>
          <w:p>
            <w:pPr>
              <w:pStyle w:val="11"/>
              <w:keepNext w:val="0"/>
              <w:keepLines w:val="0"/>
              <w:pageBreakBefore w:val="0"/>
              <w:widowControl w:val="0"/>
              <w:kinsoku/>
              <w:wordWrap/>
              <w:overflowPunct/>
              <w:topLinePunct w:val="0"/>
              <w:autoSpaceDE w:val="0"/>
              <w:autoSpaceDN w:val="0"/>
              <w:bidi w:val="0"/>
              <w:adjustRightInd/>
              <w:snapToGrid/>
              <w:spacing w:line="240" w:lineRule="auto"/>
              <w:ind w:right="0" w:rightChars="0"/>
              <w:jc w:val="both"/>
              <w:textAlignment w:val="auto"/>
              <w:rPr>
                <w:rFonts w:hint="eastAsia" w:eastAsia="宋体"/>
                <w:sz w:val="21"/>
                <w:lang w:val="en-US" w:eastAsia="zh-CN"/>
              </w:rPr>
            </w:pPr>
            <w:r>
              <w:rPr>
                <w:rFonts w:hint="eastAsia" w:cs="宋体"/>
                <w:b w:val="0"/>
                <w:bCs w:val="0"/>
                <w:color w:val="000000"/>
                <w:kern w:val="0"/>
                <w:sz w:val="21"/>
                <w:szCs w:val="21"/>
                <w:lang w:val="en-US" w:eastAsia="zh-CN" w:bidi="ar"/>
              </w:rPr>
              <w:t>（二）有《麻醉药品和精神药品管理条例》第六十九条所列3项以上情形的。</w:t>
            </w:r>
          </w:p>
        </w:tc>
      </w:tr>
    </w:tbl>
    <w:p>
      <w:pPr>
        <w:sectPr>
          <w:pgSz w:w="16838" w:h="11906" w:orient="landscape"/>
          <w:pgMar w:top="1800" w:right="1440" w:bottom="1800" w:left="1440" w:header="851" w:footer="992" w:gutter="0"/>
          <w:pgNumType w:fmt="decimal"/>
          <w:cols w:space="425" w:num="1"/>
          <w:docGrid w:type="lines" w:linePitch="312" w:charSpace="0"/>
        </w:sectPr>
      </w:pPr>
    </w:p>
    <w:p/>
    <w:tbl>
      <w:tblPr>
        <w:tblStyle w:val="8"/>
        <w:tblW w:w="504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94"/>
        <w:gridCol w:w="1626"/>
        <w:gridCol w:w="2938"/>
        <w:gridCol w:w="3082"/>
        <w:gridCol w:w="2981"/>
        <w:gridCol w:w="2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11" w:type="pct"/>
            <w:vMerge w:val="restart"/>
            <w:tcBorders>
              <w:top w:val="single" w:color="auto" w:sz="4" w:space="0"/>
              <w:bottom w:val="nil"/>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ind w:left="14"/>
              <w:jc w:val="center"/>
              <w:rPr>
                <w:rFonts w:hint="default" w:eastAsia="宋体"/>
                <w:b/>
                <w:sz w:val="21"/>
                <w:lang w:val="en-US" w:eastAsia="zh-CN"/>
              </w:rPr>
            </w:pPr>
            <w:r>
              <w:rPr>
                <w:rFonts w:hint="eastAsia"/>
                <w:b/>
                <w:sz w:val="21"/>
                <w:lang w:val="en-US" w:eastAsia="zh-CN"/>
              </w:rPr>
              <w:t>44</w:t>
            </w:r>
          </w:p>
        </w:tc>
        <w:tc>
          <w:tcPr>
            <w:tcW w:w="577" w:type="pct"/>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eastAsia="宋体"/>
                <w:b/>
                <w:sz w:val="21"/>
                <w:lang w:eastAsia="zh-CN"/>
              </w:rPr>
            </w:pPr>
            <w:r>
              <w:rPr>
                <w:rFonts w:hint="eastAsia" w:ascii="Microsoft JhengHei"/>
                <w:b/>
                <w:sz w:val="21"/>
                <w:lang w:eastAsia="zh-CN"/>
              </w:rPr>
              <w:t>裁量条款</w:t>
            </w:r>
          </w:p>
        </w:tc>
        <w:tc>
          <w:tcPr>
            <w:tcW w:w="4211" w:type="pct"/>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hint="eastAsia" w:ascii="Microsoft JhengHei"/>
                <w:b/>
                <w:sz w:val="21"/>
                <w:lang w:val="en-US" w:eastAsia="zh-CN"/>
              </w:rPr>
            </w:pPr>
            <w:r>
              <w:rPr>
                <w:rFonts w:hint="eastAsia" w:ascii="Microsoft JhengHei"/>
                <w:b/>
                <w:sz w:val="21"/>
                <w:lang w:val="en-US" w:eastAsia="zh-CN"/>
              </w:rPr>
              <w:t>第四十四条  本条是对《麻醉药品和精神药品管理条例》第七十条“并处5000元以上2万元以下的罚款”裁量基准的规定。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11"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7" w:type="pct"/>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val="en-US" w:eastAsia="zh-CN"/>
              </w:rPr>
            </w:pPr>
            <w:r>
              <w:rPr>
                <w:rFonts w:hint="eastAsia" w:ascii="Microsoft JhengHei"/>
                <w:b/>
                <w:sz w:val="21"/>
                <w:lang w:val="en-US" w:eastAsia="zh-CN"/>
              </w:rPr>
              <w:t>关联法条</w:t>
            </w:r>
          </w:p>
        </w:tc>
        <w:tc>
          <w:tcPr>
            <w:tcW w:w="4211" w:type="pct"/>
            <w:gridSpan w:val="4"/>
            <w:tcBorders>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eastAsia"/>
                <w:sz w:val="21"/>
              </w:rPr>
            </w:pPr>
            <w:r>
              <w:rPr>
                <w:rFonts w:hint="eastAsia"/>
                <w:sz w:val="21"/>
                <w:lang w:val="en-US" w:eastAsia="zh-CN"/>
              </w:rPr>
              <w:t>《麻醉药品和精神药品管理条例》第七十条 第二类精神药品零售企业违反本条例的规定储存、销售或者销毁第二类精神药品的，由药品监督管理部门责令限期改正，给予警告，并没收违法所得和违法销售的药品；逾期不改正的，责令停业，并处5000元以上2万元以下的罚款；情节严重的，取消其第二类精神药品零售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211"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7"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eastAsia="zh-CN"/>
              </w:rPr>
            </w:pPr>
            <w:r>
              <w:rPr>
                <w:rFonts w:hint="eastAsia" w:ascii="Microsoft JhengHei"/>
                <w:b/>
                <w:sz w:val="21"/>
                <w:lang w:eastAsia="zh-CN"/>
              </w:rPr>
              <w:t>裁量等级</w:t>
            </w:r>
          </w:p>
        </w:tc>
        <w:tc>
          <w:tcPr>
            <w:tcW w:w="1043"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减轻处罚幅度</w:t>
            </w:r>
          </w:p>
        </w:tc>
        <w:tc>
          <w:tcPr>
            <w:tcW w:w="1094"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从轻处罚幅度</w:t>
            </w:r>
          </w:p>
        </w:tc>
        <w:tc>
          <w:tcPr>
            <w:tcW w:w="1058"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一般处罚幅度</w:t>
            </w:r>
          </w:p>
        </w:tc>
        <w:tc>
          <w:tcPr>
            <w:tcW w:w="1014"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211"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7"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eastAsia="zh-CN"/>
              </w:rPr>
            </w:pPr>
            <w:r>
              <w:rPr>
                <w:rFonts w:hint="eastAsia" w:ascii="Microsoft JhengHei"/>
                <w:b/>
                <w:sz w:val="21"/>
                <w:lang w:eastAsia="zh-CN"/>
              </w:rPr>
              <w:t>裁量基准</w:t>
            </w:r>
          </w:p>
        </w:tc>
        <w:tc>
          <w:tcPr>
            <w:tcW w:w="1043"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p>
        </w:tc>
        <w:tc>
          <w:tcPr>
            <w:tcW w:w="1094"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从轻行政处罚，处0.5万元至0.95万元的罚款。</w:t>
            </w:r>
          </w:p>
        </w:tc>
        <w:tc>
          <w:tcPr>
            <w:tcW w:w="1058"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一般行政处罚，处0.95万元以上1.55万元以下的罚款。</w:t>
            </w:r>
          </w:p>
        </w:tc>
        <w:tc>
          <w:tcPr>
            <w:tcW w:w="1014"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从重行政处罚，处1.55万元至2万元的罚款。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0" w:hRule="atLeast"/>
        </w:trPr>
        <w:tc>
          <w:tcPr>
            <w:tcW w:w="211"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7" w:type="pct"/>
            <w:tcBorders>
              <w:top w:val="single" w:color="000000" w:sz="8" w:space="0"/>
              <w:left w:val="single" w:color="000000" w:sz="8" w:space="0"/>
              <w:bottom w:val="single" w:color="000000" w:sz="8" w:space="0"/>
              <w:right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2" w:line="240" w:lineRule="exact"/>
              <w:ind w:left="17" w:leftChars="0" w:right="11" w:rightChars="0"/>
              <w:jc w:val="both"/>
              <w:textAlignment w:val="auto"/>
              <w:rPr>
                <w:rFonts w:hint="eastAsia" w:eastAsia="宋体"/>
                <w:lang w:val="en-US" w:eastAsia="zh-CN"/>
              </w:rPr>
            </w:pPr>
            <w:r>
              <w:rPr>
                <w:rFonts w:hint="eastAsia" w:ascii="Microsoft JhengHei" w:eastAsia="Microsoft JhengHei"/>
                <w:b/>
                <w:sz w:val="21"/>
                <w:lang w:val="en-US" w:eastAsia="zh-CN"/>
              </w:rPr>
              <w:t>裁量因素</w:t>
            </w:r>
            <w:r>
              <w:rPr>
                <w:rFonts w:hint="eastAsia" w:ascii="Microsoft JhengHei" w:eastAsia="Microsoft JhengHei"/>
                <w:b w:val="0"/>
                <w:bCs/>
                <w:sz w:val="21"/>
                <w:lang w:val="en-US" w:eastAsia="zh-CN"/>
              </w:rPr>
              <w:t>（是指在进行裁量时，除裁量规则规定的从轻、减轻、从重情形外，可以考虑的因素）</w:t>
            </w:r>
          </w:p>
        </w:tc>
        <w:tc>
          <w:tcPr>
            <w:tcW w:w="4211" w:type="pct"/>
            <w:gridSpan w:val="4"/>
            <w:tcBorders>
              <w:top w:val="single" w:color="000000" w:sz="8" w:space="0"/>
              <w:left w:val="single" w:color="auto" w:sz="4" w:space="0"/>
              <w:bottom w:val="single" w:color="000000" w:sz="8" w:space="0"/>
              <w:right w:val="single" w:color="000000" w:sz="8" w:space="0"/>
            </w:tcBorders>
            <w:noWrap w:val="0"/>
            <w:vAlign w:val="center"/>
          </w:tcPr>
          <w:p>
            <w:pPr>
              <w:pStyle w:val="12"/>
              <w:keepNext w:val="0"/>
              <w:keepLines w:val="0"/>
              <w:pageBreakBefore w:val="0"/>
              <w:kinsoku/>
              <w:wordWrap/>
              <w:overflowPunct/>
              <w:topLinePunct w:val="0"/>
              <w:bidi w:val="0"/>
              <w:adjustRightInd/>
              <w:spacing w:before="0" w:after="0" w:line="240" w:lineRule="auto"/>
              <w:ind w:left="0" w:leftChars="0" w:right="0" w:firstLine="0" w:firstLineChars="0"/>
              <w:jc w:val="both"/>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从重处罚考虑因素：</w:t>
            </w:r>
          </w:p>
          <w:p>
            <w:pPr>
              <w:pStyle w:val="12"/>
              <w:keepNext w:val="0"/>
              <w:keepLines w:val="0"/>
              <w:pageBreakBefore w:val="0"/>
              <w:kinsoku/>
              <w:wordWrap/>
              <w:overflowPunct/>
              <w:topLinePunct w:val="0"/>
              <w:bidi w:val="0"/>
              <w:adjustRightInd/>
              <w:spacing w:before="0" w:after="0" w:line="240" w:lineRule="auto"/>
              <w:ind w:left="0" w:leftChars="0" w:right="0" w:firstLine="0" w:firstLineChars="0"/>
              <w:jc w:val="both"/>
              <w:rPr>
                <w:rFonts w:ascii="宋体" w:hAnsi="宋体" w:eastAsia="宋体" w:cs="宋体"/>
                <w:sz w:val="21"/>
                <w:szCs w:val="21"/>
                <w:lang w:val="zh-CN" w:eastAsia="zh-CN"/>
              </w:rPr>
            </w:pPr>
            <w:r>
              <w:rPr>
                <w:rFonts w:hint="eastAsia" w:cs="宋体"/>
                <w:b w:val="0"/>
                <w:bCs w:val="0"/>
                <w:color w:val="000000"/>
                <w:kern w:val="0"/>
                <w:sz w:val="20"/>
                <w:szCs w:val="20"/>
                <w:lang w:val="en-US" w:eastAsia="zh-CN" w:bidi="ar"/>
              </w:rPr>
              <w:t>（一）</w:t>
            </w:r>
            <w:r>
              <w:rPr>
                <w:rFonts w:ascii="宋体" w:hAnsi="宋体" w:eastAsia="宋体" w:cs="宋体"/>
                <w:b w:val="0"/>
                <w:bCs w:val="0"/>
                <w:sz w:val="21"/>
                <w:szCs w:val="21"/>
                <w:lang w:val="zh-CN" w:eastAsia="zh-CN"/>
              </w:rPr>
              <w:t>向</w:t>
            </w:r>
            <w:r>
              <w:rPr>
                <w:rFonts w:ascii="宋体" w:hAnsi="宋体" w:eastAsia="宋体" w:cs="宋体"/>
                <w:sz w:val="21"/>
                <w:szCs w:val="21"/>
                <w:lang w:val="zh-CN" w:eastAsia="zh-CN"/>
              </w:rPr>
              <w:t>未成年人销售第二类精神药品的；</w:t>
            </w:r>
          </w:p>
          <w:p>
            <w:pPr>
              <w:pStyle w:val="12"/>
              <w:keepNext w:val="0"/>
              <w:keepLines w:val="0"/>
              <w:pageBreakBefore w:val="0"/>
              <w:kinsoku/>
              <w:wordWrap/>
              <w:overflowPunct/>
              <w:topLinePunct w:val="0"/>
              <w:bidi w:val="0"/>
              <w:adjustRightInd/>
              <w:spacing w:before="0" w:after="0" w:line="240" w:lineRule="auto"/>
              <w:ind w:left="0" w:leftChars="0" w:right="0" w:firstLine="0" w:firstLineChars="0"/>
              <w:jc w:val="both"/>
              <w:rPr>
                <w:rFonts w:hint="eastAsia" w:eastAsia="宋体"/>
                <w:sz w:val="21"/>
                <w:lang w:val="en-US" w:eastAsia="zh-CN"/>
              </w:rPr>
            </w:pPr>
            <w:bookmarkStart w:id="12" w:name="No1814_T113K4X2"/>
            <w:bookmarkEnd w:id="12"/>
            <w:r>
              <w:rPr>
                <w:rFonts w:hint="eastAsia" w:cs="宋体"/>
                <w:sz w:val="21"/>
                <w:szCs w:val="21"/>
                <w:lang w:val="en-US" w:eastAsia="zh-CN"/>
              </w:rPr>
              <w:t>（二）</w:t>
            </w:r>
            <w:r>
              <w:rPr>
                <w:rFonts w:ascii="宋体" w:hAnsi="宋体" w:eastAsia="宋体" w:cs="宋体"/>
                <w:sz w:val="21"/>
                <w:szCs w:val="21"/>
                <w:lang w:val="zh-CN" w:eastAsia="zh-CN"/>
              </w:rPr>
              <w:t>造成精神药品流弊的</w:t>
            </w:r>
            <w:r>
              <w:rPr>
                <w:rFonts w:hint="eastAsia" w:cs="宋体"/>
                <w:sz w:val="21"/>
                <w:szCs w:val="21"/>
                <w:lang w:val="zh-CN" w:eastAsia="zh-CN"/>
              </w:rPr>
              <w:t>。</w:t>
            </w:r>
            <w:bookmarkStart w:id="13" w:name="No1815_T113K4X3"/>
          </w:p>
          <w:bookmarkEnd w:id="13"/>
        </w:tc>
      </w:tr>
    </w:tbl>
    <w:p>
      <w:pPr>
        <w:sectPr>
          <w:pgSz w:w="16838" w:h="11906" w:orient="landscape"/>
          <w:pgMar w:top="1800" w:right="1440" w:bottom="1800" w:left="1440" w:header="851" w:footer="992" w:gutter="0"/>
          <w:pgNumType w:fmt="decimal"/>
          <w:cols w:space="425" w:num="1"/>
          <w:docGrid w:type="lines" w:linePitch="312" w:charSpace="0"/>
        </w:sectPr>
      </w:pPr>
    </w:p>
    <w:tbl>
      <w:tblPr>
        <w:tblStyle w:val="8"/>
        <w:tblW w:w="502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86"/>
        <w:gridCol w:w="1617"/>
        <w:gridCol w:w="2930"/>
        <w:gridCol w:w="3124"/>
        <w:gridCol w:w="2854"/>
        <w:gridCol w:w="2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209" w:type="pct"/>
            <w:vMerge w:val="restart"/>
            <w:tcBorders>
              <w:top w:val="single" w:color="auto" w:sz="4" w:space="0"/>
              <w:bottom w:val="nil"/>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default" w:eastAsia="宋体"/>
                <w:b/>
                <w:sz w:val="21"/>
                <w:lang w:val="en-US" w:eastAsia="zh-CN"/>
              </w:rPr>
            </w:pPr>
            <w:r>
              <w:rPr>
                <w:rFonts w:hint="eastAsia"/>
                <w:b/>
                <w:sz w:val="21"/>
                <w:lang w:val="en-US" w:eastAsia="zh-CN"/>
              </w:rPr>
              <w:t>45</w:t>
            </w:r>
          </w:p>
        </w:tc>
        <w:tc>
          <w:tcPr>
            <w:tcW w:w="576" w:type="pct"/>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eastAsia="宋体"/>
                <w:b/>
                <w:sz w:val="21"/>
                <w:lang w:eastAsia="zh-CN"/>
              </w:rPr>
            </w:pPr>
            <w:r>
              <w:rPr>
                <w:rFonts w:hint="eastAsia" w:ascii="Microsoft JhengHei"/>
                <w:b/>
                <w:sz w:val="21"/>
                <w:lang w:eastAsia="zh-CN"/>
              </w:rPr>
              <w:t>裁量条款</w:t>
            </w:r>
          </w:p>
        </w:tc>
        <w:tc>
          <w:tcPr>
            <w:tcW w:w="4213" w:type="pct"/>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ascii="Microsoft JhengHei"/>
                <w:b/>
                <w:sz w:val="21"/>
                <w:lang w:val="en-US"/>
              </w:rPr>
            </w:pPr>
            <w:r>
              <w:rPr>
                <w:rFonts w:hint="eastAsia" w:ascii="Microsoft JhengHei"/>
                <w:b/>
                <w:sz w:val="21"/>
                <w:lang w:val="en-US" w:eastAsia="zh-CN"/>
              </w:rPr>
              <w:t>第四十五条  本条是对《麻醉药品和精神药品管理条例》第七十一条“并处2万元以上5万元以下的罚款”裁量基准的规定。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8" w:hRule="atLeast"/>
        </w:trPr>
        <w:tc>
          <w:tcPr>
            <w:tcW w:w="209"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6" w:type="pct"/>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eastAsia="宋体"/>
                <w:b/>
                <w:sz w:val="21"/>
                <w:lang w:val="en-US" w:eastAsia="zh-CN"/>
              </w:rPr>
            </w:pPr>
            <w:r>
              <w:rPr>
                <w:rFonts w:hint="eastAsia" w:ascii="Microsoft JhengHei"/>
                <w:b/>
                <w:sz w:val="21"/>
                <w:lang w:val="en-US" w:eastAsia="zh-CN"/>
              </w:rPr>
              <w:t>关联法条</w:t>
            </w:r>
          </w:p>
        </w:tc>
        <w:tc>
          <w:tcPr>
            <w:tcW w:w="4213" w:type="pct"/>
            <w:gridSpan w:val="4"/>
            <w:tcBorders>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eastAsia"/>
                <w:sz w:val="21"/>
                <w:lang w:val="en-US" w:eastAsia="zh-CN"/>
              </w:rPr>
            </w:pPr>
            <w:r>
              <w:rPr>
                <w:rFonts w:hint="eastAsia"/>
                <w:sz w:val="21"/>
                <w:lang w:val="en-US" w:eastAsia="zh-CN"/>
              </w:rPr>
              <w:t>《麻醉药品和精神药品管理条例》第七十一条 本条例第三十四条、第三十五条规定的单位违反本条例的规定，购买麻醉药品和精神药品的，由药品监督管理部门没收违法购买的麻醉药品和精神药品，责令限期改正，给予警告；逾期不改正的，责令停产或者停止相关活动，并处2万元以上5万元以下的罚款。</w:t>
            </w:r>
          </w:p>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eastAsia"/>
                <w:sz w:val="21"/>
                <w:lang w:val="en-US"/>
              </w:rPr>
            </w:pPr>
            <w:r>
              <w:rPr>
                <w:rFonts w:hint="eastAsia"/>
                <w:sz w:val="21"/>
                <w:lang w:val="en-US" w:eastAsia="zh-CN"/>
              </w:rPr>
              <w:t>《麻醉药品和精神药品管理条例》</w:t>
            </w:r>
            <w:r>
              <w:rPr>
                <w:rFonts w:hint="eastAsia"/>
                <w:sz w:val="21"/>
                <w:lang w:val="en-US"/>
              </w:rPr>
              <w:t>第三十四条　药品生产企业需要以麻醉药品和第一类精神药品为原料生产普通药品的，应当向所在地省、自治区、直辖市人民政府药品监督管理部门报送年度需求计划，由省、自治区、直辖市人民政府药品监督管理部门汇总报国务院药品监督管理部门批准后，向定点生产企业购买。</w:t>
            </w:r>
          </w:p>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eastAsia"/>
                <w:sz w:val="21"/>
                <w:lang w:val="en-US"/>
              </w:rPr>
            </w:pPr>
            <w:r>
              <w:rPr>
                <w:rFonts w:hint="eastAsia"/>
                <w:sz w:val="21"/>
                <w:lang w:val="en-US"/>
              </w:rPr>
              <w:t>药品生产企业需要以第二类精神药品为原料生产普通药品的，应当将年度需求计划报所在地省、自治区、直辖市人民政府药品监督管理部门，并向定点批发企业或者定点生产企业购买。</w:t>
            </w:r>
          </w:p>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eastAsia"/>
                <w:sz w:val="21"/>
                <w:lang w:val="en-US"/>
              </w:rPr>
            </w:pPr>
            <w:r>
              <w:rPr>
                <w:rFonts w:hint="eastAsia"/>
                <w:sz w:val="21"/>
                <w:lang w:val="en-US" w:eastAsia="zh-CN"/>
              </w:rPr>
              <w:t>《麻醉药品和精神药品管理条例》</w:t>
            </w:r>
            <w:r>
              <w:rPr>
                <w:rFonts w:hint="eastAsia"/>
                <w:sz w:val="21"/>
                <w:lang w:val="en-US"/>
              </w:rPr>
              <w:t>第三十五条　食品、食品添加剂、化妆品、油漆等非药品生产企业需要使用咖啡因作为原料的，应当经所在地省、自治区、直辖市人民政府药品监督管理部门批准，向定点批发企业或者定点生产企业购买。</w:t>
            </w:r>
          </w:p>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eastAsia"/>
                <w:sz w:val="21"/>
                <w:lang w:val="en-US"/>
              </w:rPr>
            </w:pPr>
            <w:r>
              <w:rPr>
                <w:rFonts w:hint="eastAsia"/>
                <w:sz w:val="21"/>
                <w:lang w:val="en-US"/>
              </w:rPr>
              <w:t>科学研究、教学单位需要使用麻醉药品和精神药品开展实验、教学活动的，应当经所在地省、自治区、直辖市人民政府药品监督管理部门批准，向定点批发企业或者定点生产企业购买。</w:t>
            </w:r>
          </w:p>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eastAsia"/>
                <w:sz w:val="21"/>
                <w:lang w:val="en-US" w:eastAsia="zh-CN"/>
              </w:rPr>
            </w:pPr>
            <w:r>
              <w:rPr>
                <w:rFonts w:hint="eastAsia"/>
                <w:sz w:val="21"/>
                <w:lang w:val="en-US"/>
              </w:rPr>
              <w:t>需要使用麻醉药品和精神药品的标准品、对照品的，应当经所在地省、自治区、直辖市人民政府药品监督管理部门批准，向国务院药品监督管理部门批准的单位购买。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09"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6"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eastAsia="zh-CN"/>
              </w:rPr>
            </w:pPr>
            <w:r>
              <w:rPr>
                <w:rFonts w:hint="eastAsia" w:ascii="Microsoft JhengHei"/>
                <w:b/>
                <w:sz w:val="21"/>
                <w:lang w:eastAsia="zh-CN"/>
              </w:rPr>
              <w:t>裁量等级</w:t>
            </w:r>
          </w:p>
        </w:tc>
        <w:tc>
          <w:tcPr>
            <w:tcW w:w="1044"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减轻处罚幅度</w:t>
            </w:r>
          </w:p>
        </w:tc>
        <w:tc>
          <w:tcPr>
            <w:tcW w:w="1113"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从轻处罚幅度</w:t>
            </w:r>
          </w:p>
        </w:tc>
        <w:tc>
          <w:tcPr>
            <w:tcW w:w="1017"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一般处罚幅度</w:t>
            </w:r>
          </w:p>
        </w:tc>
        <w:tc>
          <w:tcPr>
            <w:tcW w:w="1038"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209"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6"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eastAsia="zh-CN"/>
              </w:rPr>
            </w:pPr>
            <w:r>
              <w:rPr>
                <w:rFonts w:hint="eastAsia" w:ascii="Microsoft JhengHei"/>
                <w:b/>
                <w:sz w:val="21"/>
                <w:lang w:eastAsia="zh-CN"/>
              </w:rPr>
              <w:t>裁量基准</w:t>
            </w:r>
          </w:p>
        </w:tc>
        <w:tc>
          <w:tcPr>
            <w:tcW w:w="1044"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p>
        </w:tc>
        <w:tc>
          <w:tcPr>
            <w:tcW w:w="1113"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从轻行政处罚，处2万元至2.9万元的罚款。</w:t>
            </w:r>
          </w:p>
        </w:tc>
        <w:tc>
          <w:tcPr>
            <w:tcW w:w="1017"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一般行政处罚，处2.9万元以上4.1万元以下的罚款。</w:t>
            </w:r>
          </w:p>
        </w:tc>
        <w:tc>
          <w:tcPr>
            <w:tcW w:w="1038"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从重行政处罚，处4.1万元至5万元的罚款。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209"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6" w:type="pct"/>
            <w:tcBorders>
              <w:top w:val="single" w:color="000000" w:sz="8" w:space="0"/>
              <w:left w:val="single" w:color="000000" w:sz="8" w:space="0"/>
              <w:right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2" w:line="240" w:lineRule="exact"/>
              <w:ind w:left="17" w:leftChars="0" w:right="11" w:rightChars="0"/>
              <w:jc w:val="both"/>
              <w:textAlignment w:val="auto"/>
              <w:rPr>
                <w:rFonts w:hint="eastAsia" w:eastAsia="宋体"/>
                <w:lang w:val="en-US" w:eastAsia="zh-CN"/>
              </w:rPr>
            </w:pPr>
            <w:r>
              <w:rPr>
                <w:rFonts w:hint="eastAsia" w:ascii="Microsoft JhengHei" w:eastAsia="Microsoft JhengHei"/>
                <w:b/>
                <w:sz w:val="21"/>
                <w:lang w:val="en-US" w:eastAsia="zh-CN"/>
              </w:rPr>
              <w:t>裁量因素</w:t>
            </w:r>
            <w:r>
              <w:rPr>
                <w:rFonts w:hint="eastAsia" w:ascii="Microsoft JhengHei" w:eastAsia="Microsoft JhengHei"/>
                <w:b w:val="0"/>
                <w:bCs/>
                <w:sz w:val="21"/>
                <w:lang w:val="en-US" w:eastAsia="zh-CN"/>
              </w:rPr>
              <w:t>（是指在进行裁量时，除裁量规则规定的从轻、减轻、从重情形外，可以考虑的因素）</w:t>
            </w:r>
          </w:p>
        </w:tc>
        <w:tc>
          <w:tcPr>
            <w:tcW w:w="4213" w:type="pct"/>
            <w:gridSpan w:val="4"/>
            <w:tcBorders>
              <w:top w:val="single" w:color="000000" w:sz="8" w:space="0"/>
              <w:left w:val="single" w:color="auto" w:sz="4" w:space="0"/>
              <w:bottom w:val="single" w:color="auto" w:sz="4" w:space="0"/>
              <w:right w:val="single" w:color="000000" w:sz="8" w:space="0"/>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both"/>
              <w:textAlignment w:val="center"/>
              <w:rPr>
                <w:rFonts w:hint="eastAsia" w:ascii="宋体" w:hAnsi="宋体" w:eastAsia="宋体" w:cs="宋体"/>
                <w:b w:val="0"/>
                <w:bCs w:val="0"/>
                <w:sz w:val="21"/>
                <w:szCs w:val="21"/>
                <w:lang w:val="zh-CN" w:eastAsia="zh-CN"/>
              </w:rPr>
            </w:pPr>
            <w:r>
              <w:rPr>
                <w:rFonts w:hint="eastAsia" w:ascii="宋体" w:hAnsi="宋体" w:eastAsia="宋体" w:cs="宋体"/>
                <w:b/>
                <w:bCs/>
                <w:color w:val="000000"/>
                <w:kern w:val="0"/>
                <w:sz w:val="21"/>
                <w:szCs w:val="21"/>
                <w:lang w:val="en-US" w:eastAsia="zh-CN" w:bidi="ar"/>
              </w:rPr>
              <w:t>从重处罚考虑因素：</w:t>
            </w:r>
            <w:r>
              <w:rPr>
                <w:rFonts w:hint="eastAsia" w:ascii="宋体" w:hAnsi="宋体" w:eastAsia="宋体" w:cs="宋体"/>
                <w:b w:val="0"/>
                <w:bCs w:val="0"/>
                <w:sz w:val="21"/>
                <w:szCs w:val="21"/>
                <w:lang w:val="zh-CN" w:eastAsia="zh-CN"/>
              </w:rPr>
              <w:t>造成麻醉药品或者精神药品流弊的</w:t>
            </w:r>
            <w:r>
              <w:rPr>
                <w:rFonts w:hint="default" w:cs="宋体"/>
                <w:b w:val="0"/>
                <w:bCs w:val="0"/>
                <w:sz w:val="21"/>
                <w:szCs w:val="21"/>
                <w:lang w:val="zh-CN" w:eastAsia="zh-CN"/>
              </w:rPr>
              <w:t>。</w:t>
            </w:r>
          </w:p>
          <w:p>
            <w:pPr>
              <w:pStyle w:val="11"/>
              <w:keepNext w:val="0"/>
              <w:keepLines w:val="0"/>
              <w:pageBreakBefore w:val="0"/>
              <w:kinsoku/>
              <w:wordWrap/>
              <w:overflowPunct/>
              <w:topLinePunct w:val="0"/>
              <w:bidi w:val="0"/>
              <w:adjustRightInd/>
              <w:spacing w:before="2" w:line="240" w:lineRule="auto"/>
              <w:ind w:right="11" w:rightChars="0"/>
              <w:jc w:val="both"/>
              <w:rPr>
                <w:rFonts w:hint="eastAsia" w:eastAsia="宋体"/>
                <w:sz w:val="21"/>
                <w:lang w:val="en-US" w:eastAsia="zh-CN"/>
              </w:rPr>
            </w:pPr>
          </w:p>
        </w:tc>
      </w:tr>
    </w:tbl>
    <w:p/>
    <w:p/>
    <w:p/>
    <w:p/>
    <w:p/>
    <w:p/>
    <w:p/>
    <w:p/>
    <w:p/>
    <w:p/>
    <w:p/>
    <w:p/>
    <w:p/>
    <w:p/>
    <w:p/>
    <w:p/>
    <w:tbl>
      <w:tblPr>
        <w:tblStyle w:val="8"/>
        <w:tblW w:w="505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84"/>
        <w:gridCol w:w="1630"/>
        <w:gridCol w:w="2867"/>
        <w:gridCol w:w="3115"/>
        <w:gridCol w:w="2960"/>
        <w:gridCol w:w="29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07" w:type="pct"/>
            <w:vMerge w:val="restart"/>
            <w:tcBorders>
              <w:top w:val="single" w:color="auto" w:sz="4" w:space="0"/>
              <w:bottom w:val="nil"/>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ind w:left="14" w:leftChars="0"/>
              <w:jc w:val="center"/>
              <w:rPr>
                <w:rFonts w:hint="default" w:eastAsia="宋体"/>
                <w:b/>
                <w:sz w:val="21"/>
                <w:lang w:val="en-US" w:eastAsia="zh-CN"/>
              </w:rPr>
            </w:pPr>
            <w:bookmarkStart w:id="16" w:name="_GoBack"/>
            <w:bookmarkEnd w:id="16"/>
            <w:r>
              <w:rPr>
                <w:rFonts w:hint="eastAsia"/>
                <w:b/>
                <w:sz w:val="21"/>
                <w:lang w:val="en-US" w:eastAsia="zh-CN"/>
              </w:rPr>
              <w:t>46</w:t>
            </w:r>
          </w:p>
        </w:tc>
        <w:tc>
          <w:tcPr>
            <w:tcW w:w="577" w:type="pct"/>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eastAsia="宋体"/>
                <w:b/>
                <w:sz w:val="21"/>
                <w:lang w:eastAsia="zh-CN"/>
              </w:rPr>
            </w:pPr>
            <w:r>
              <w:rPr>
                <w:rFonts w:hint="eastAsia" w:ascii="Microsoft JhengHei"/>
                <w:b/>
                <w:sz w:val="21"/>
                <w:lang w:eastAsia="zh-CN"/>
              </w:rPr>
              <w:t>裁量条款</w:t>
            </w:r>
          </w:p>
        </w:tc>
        <w:tc>
          <w:tcPr>
            <w:tcW w:w="4215" w:type="pct"/>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ascii="Microsoft JhengHei"/>
                <w:b/>
                <w:sz w:val="21"/>
                <w:lang w:val="en-US"/>
              </w:rPr>
            </w:pPr>
            <w:r>
              <w:rPr>
                <w:rFonts w:hint="eastAsia" w:ascii="Microsoft JhengHei"/>
                <w:b/>
                <w:sz w:val="21"/>
                <w:lang w:val="en-US" w:eastAsia="zh-CN"/>
              </w:rPr>
              <w:t>第四十六条  本条是对《麻醉药品和精神药品管理条例》第七十四条“并处2万元以上5万元以下的罚款”裁量基准的规定。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07"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7" w:type="pct"/>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eastAsia="宋体"/>
                <w:b/>
                <w:sz w:val="21"/>
                <w:lang w:val="en-US" w:eastAsia="zh-CN"/>
              </w:rPr>
            </w:pPr>
            <w:r>
              <w:rPr>
                <w:rFonts w:hint="eastAsia" w:ascii="Microsoft JhengHei"/>
                <w:b/>
                <w:sz w:val="21"/>
                <w:lang w:val="en-US" w:eastAsia="zh-CN"/>
              </w:rPr>
              <w:t>关联法条</w:t>
            </w:r>
          </w:p>
        </w:tc>
        <w:tc>
          <w:tcPr>
            <w:tcW w:w="4215" w:type="pct"/>
            <w:gridSpan w:val="4"/>
            <w:tcBorders>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eastAsia"/>
                <w:sz w:val="21"/>
                <w:lang w:val="en-US" w:eastAsia="zh-CN"/>
              </w:rPr>
            </w:pPr>
            <w:r>
              <w:rPr>
                <w:rFonts w:hint="eastAsia"/>
                <w:sz w:val="21"/>
                <w:lang w:val="en-US" w:eastAsia="zh-CN"/>
              </w:rPr>
              <w:t>《麻醉药品和精神药品管理条例》第七十四条 违反本条例的规定运输麻醉药品和精神药品的，由药品监督管理部门和运输管理部门依照各自职责，责令改正，给予警告，处2万元以上5万元以下的罚款。</w:t>
            </w:r>
          </w:p>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eastAsia"/>
                <w:sz w:val="21"/>
              </w:rPr>
            </w:pPr>
            <w:r>
              <w:rPr>
                <w:rFonts w:hint="eastAsia"/>
                <w:sz w:val="21"/>
                <w:lang w:val="en-US" w:eastAsia="zh-CN"/>
              </w:rPr>
              <w:t>收寄麻醉药品、精神药品的邮政营业机构未依照本条例的规定办理邮寄手续的，由邮政主管部门责令改正，给予警告；造成麻醉药品、精神药品邮件丢失的，依照邮政法律、行政法规的规定处理。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07"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7"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val="en-US" w:eastAsia="zh-CN"/>
              </w:rPr>
            </w:pPr>
            <w:r>
              <w:rPr>
                <w:rFonts w:hint="eastAsia" w:ascii="Microsoft JhengHei"/>
                <w:b/>
                <w:sz w:val="21"/>
                <w:lang w:val="en-US" w:eastAsia="zh-CN"/>
              </w:rPr>
              <w:t>裁量等级</w:t>
            </w:r>
          </w:p>
        </w:tc>
        <w:tc>
          <w:tcPr>
            <w:tcW w:w="1015"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减轻处罚幅度</w:t>
            </w:r>
          </w:p>
        </w:tc>
        <w:tc>
          <w:tcPr>
            <w:tcW w:w="1103"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从轻处罚幅度</w:t>
            </w:r>
          </w:p>
        </w:tc>
        <w:tc>
          <w:tcPr>
            <w:tcW w:w="1048"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一般处罚幅度</w:t>
            </w:r>
          </w:p>
        </w:tc>
        <w:tc>
          <w:tcPr>
            <w:tcW w:w="1047"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207"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7"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sz w:val="21"/>
                <w:lang w:val="en-US" w:eastAsia="zh-CN"/>
              </w:rPr>
            </w:pPr>
            <w:r>
              <w:rPr>
                <w:rFonts w:hint="eastAsia" w:ascii="Microsoft JhengHei"/>
                <w:b/>
                <w:sz w:val="21"/>
                <w:lang w:val="en-US" w:eastAsia="zh-CN"/>
              </w:rPr>
              <w:t>裁量基准</w:t>
            </w:r>
          </w:p>
        </w:tc>
        <w:tc>
          <w:tcPr>
            <w:tcW w:w="1015"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r>
              <w:rPr>
                <w:rFonts w:hint="eastAsia"/>
                <w:sz w:val="21"/>
                <w:lang w:val="en-US" w:eastAsia="zh-CN"/>
              </w:rPr>
              <w:t>符合裁量规则减轻行政处罚情形的，处2万元以下的罚款。</w:t>
            </w:r>
          </w:p>
        </w:tc>
        <w:tc>
          <w:tcPr>
            <w:tcW w:w="1103"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从轻行政处罚，处2万元至2.9万元的罚款。</w:t>
            </w:r>
          </w:p>
        </w:tc>
        <w:tc>
          <w:tcPr>
            <w:tcW w:w="1048"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一般行政处罚，处2.9万元以上4.1万元以下的罚款。</w:t>
            </w:r>
          </w:p>
        </w:tc>
        <w:tc>
          <w:tcPr>
            <w:tcW w:w="1047"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从重行政处罚，处4.1万元至5万元的罚款。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8" w:hRule="atLeast"/>
        </w:trPr>
        <w:tc>
          <w:tcPr>
            <w:tcW w:w="207" w:type="pct"/>
            <w:vMerge w:val="continue"/>
            <w:tcBorders>
              <w:top w:val="single" w:color="000000" w:sz="8" w:space="0"/>
              <w:left w:val="single" w:color="000000" w:sz="8" w:space="0"/>
              <w:bottom w:val="single" w:color="000000" w:sz="8" w:space="0"/>
              <w:right w:val="single" w:color="auto" w:sz="4" w:space="0"/>
            </w:tcBorders>
            <w:noWrap w:val="0"/>
            <w:vAlign w:val="top"/>
          </w:tcPr>
          <w:p>
            <w:pPr>
              <w:keepNext w:val="0"/>
              <w:keepLines w:val="0"/>
              <w:pageBreakBefore w:val="0"/>
              <w:kinsoku/>
              <w:wordWrap/>
              <w:overflowPunct/>
              <w:topLinePunct w:val="0"/>
              <w:bidi w:val="0"/>
              <w:adjustRightInd/>
              <w:spacing w:line="240" w:lineRule="auto"/>
              <w:jc w:val="center"/>
              <w:rPr>
                <w:rFonts w:hint="eastAsia" w:eastAsia="宋体"/>
                <w:lang w:val="en-US" w:eastAsia="zh-CN"/>
              </w:rPr>
            </w:pPr>
          </w:p>
        </w:tc>
        <w:tc>
          <w:tcPr>
            <w:tcW w:w="577" w:type="pct"/>
            <w:tcBorders>
              <w:top w:val="single" w:color="000000" w:sz="8" w:space="0"/>
              <w:left w:val="single" w:color="auto" w:sz="4"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2" w:line="240" w:lineRule="exact"/>
              <w:ind w:left="17" w:leftChars="0" w:right="11" w:rightChars="0"/>
              <w:jc w:val="both"/>
              <w:textAlignment w:val="auto"/>
              <w:rPr>
                <w:rFonts w:hint="eastAsia" w:eastAsia="宋体"/>
                <w:sz w:val="21"/>
                <w:lang w:val="en-US" w:eastAsia="zh-CN"/>
              </w:rPr>
            </w:pPr>
            <w:r>
              <w:rPr>
                <w:rFonts w:hint="eastAsia" w:ascii="Microsoft JhengHei" w:eastAsia="Microsoft JhengHei"/>
                <w:b/>
                <w:sz w:val="21"/>
                <w:lang w:val="en-US" w:eastAsia="zh-CN"/>
              </w:rPr>
              <w:t>裁量因素</w:t>
            </w:r>
            <w:r>
              <w:rPr>
                <w:rFonts w:hint="eastAsia" w:ascii="Microsoft JhengHei" w:eastAsia="Microsoft JhengHei"/>
                <w:b w:val="0"/>
                <w:bCs/>
                <w:sz w:val="21"/>
                <w:lang w:val="en-US" w:eastAsia="zh-CN"/>
              </w:rPr>
              <w:t>（是指在进行裁量时，除裁量规则规定的从轻、减轻、从重情形外，可以考虑的因素）</w:t>
            </w:r>
          </w:p>
        </w:tc>
        <w:tc>
          <w:tcPr>
            <w:tcW w:w="4215" w:type="pct"/>
            <w:gridSpan w:val="4"/>
            <w:tcBorders>
              <w:top w:val="single" w:color="000000" w:sz="8" w:space="0"/>
              <w:left w:val="single" w:color="auto" w:sz="4"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both"/>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从轻处罚考虑因素：</w:t>
            </w:r>
          </w:p>
          <w:p>
            <w:pPr>
              <w:pStyle w:val="12"/>
              <w:keepNext w:val="0"/>
              <w:keepLines w:val="0"/>
              <w:pageBreakBefore w:val="0"/>
              <w:kinsoku/>
              <w:wordWrap/>
              <w:overflowPunct/>
              <w:topLinePunct w:val="0"/>
              <w:bidi w:val="0"/>
              <w:adjustRightInd/>
              <w:spacing w:line="240" w:lineRule="auto"/>
              <w:ind w:firstLine="0"/>
              <w:jc w:val="both"/>
              <w:rPr>
                <w:rFonts w:hint="default" w:cs="宋体"/>
                <w:b w:val="0"/>
                <w:bCs w:val="0"/>
                <w:color w:val="000000"/>
                <w:kern w:val="0"/>
                <w:sz w:val="21"/>
                <w:szCs w:val="21"/>
                <w:lang w:val="zh-CN" w:eastAsia="zh-CN" w:bidi="ar"/>
              </w:rPr>
            </w:pPr>
            <w:r>
              <w:rPr>
                <w:rFonts w:hint="default" w:cs="宋体"/>
                <w:b w:val="0"/>
                <w:bCs w:val="0"/>
                <w:color w:val="000000"/>
                <w:kern w:val="0"/>
                <w:sz w:val="21"/>
                <w:szCs w:val="21"/>
                <w:lang w:val="zh-CN" w:eastAsia="zh-CN" w:bidi="ar"/>
              </w:rPr>
              <w:t>（一）只有1次运输的；</w:t>
            </w:r>
          </w:p>
          <w:p>
            <w:pPr>
              <w:pStyle w:val="12"/>
              <w:keepNext w:val="0"/>
              <w:keepLines w:val="0"/>
              <w:pageBreakBefore w:val="0"/>
              <w:kinsoku/>
              <w:wordWrap/>
              <w:overflowPunct/>
              <w:topLinePunct w:val="0"/>
              <w:bidi w:val="0"/>
              <w:adjustRightInd/>
              <w:spacing w:line="240" w:lineRule="auto"/>
              <w:ind w:firstLine="0"/>
              <w:jc w:val="both"/>
              <w:rPr>
                <w:rFonts w:hint="default" w:cs="宋体"/>
                <w:b w:val="0"/>
                <w:bCs w:val="0"/>
                <w:color w:val="000000"/>
                <w:kern w:val="0"/>
                <w:sz w:val="21"/>
                <w:szCs w:val="21"/>
                <w:lang w:val="zh-CN" w:eastAsia="zh-CN" w:bidi="ar"/>
              </w:rPr>
            </w:pPr>
            <w:r>
              <w:rPr>
                <w:rFonts w:hint="default" w:cs="宋体"/>
                <w:b w:val="0"/>
                <w:bCs w:val="0"/>
                <w:color w:val="000000"/>
                <w:kern w:val="0"/>
                <w:sz w:val="21"/>
                <w:szCs w:val="21"/>
                <w:lang w:val="zh-CN" w:eastAsia="zh-CN" w:bidi="ar"/>
              </w:rPr>
              <w:t>（二）违法收入1万元以下的。</w:t>
            </w:r>
          </w:p>
          <w:p>
            <w:pPr>
              <w:pStyle w:val="11"/>
              <w:keepNext w:val="0"/>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从重处罚考虑因素：</w:t>
            </w:r>
          </w:p>
          <w:p>
            <w:pPr>
              <w:pStyle w:val="12"/>
              <w:keepNext w:val="0"/>
              <w:keepLines w:val="0"/>
              <w:pageBreakBefore w:val="0"/>
              <w:kinsoku/>
              <w:wordWrap/>
              <w:overflowPunct/>
              <w:topLinePunct w:val="0"/>
              <w:bidi w:val="0"/>
              <w:adjustRightInd/>
              <w:spacing w:line="240" w:lineRule="auto"/>
              <w:ind w:firstLine="0"/>
              <w:jc w:val="both"/>
              <w:rPr>
                <w:rFonts w:hint="default" w:cs="宋体"/>
                <w:b w:val="0"/>
                <w:bCs w:val="0"/>
                <w:color w:val="000000"/>
                <w:kern w:val="0"/>
                <w:sz w:val="21"/>
                <w:szCs w:val="21"/>
                <w:lang w:val="zh-CN" w:eastAsia="zh-CN" w:bidi="ar"/>
              </w:rPr>
            </w:pPr>
            <w:r>
              <w:rPr>
                <w:rFonts w:hint="default" w:cs="宋体"/>
                <w:b w:val="0"/>
                <w:bCs w:val="0"/>
                <w:color w:val="000000"/>
                <w:kern w:val="0"/>
                <w:sz w:val="21"/>
                <w:szCs w:val="21"/>
                <w:lang w:val="zh-CN" w:eastAsia="zh-CN" w:bidi="ar"/>
              </w:rPr>
              <w:t>（一）违法收入5万元以上的；</w:t>
            </w:r>
          </w:p>
          <w:p>
            <w:pPr>
              <w:pStyle w:val="12"/>
              <w:keepNext w:val="0"/>
              <w:keepLines w:val="0"/>
              <w:pageBreakBefore w:val="0"/>
              <w:kinsoku/>
              <w:wordWrap/>
              <w:overflowPunct/>
              <w:topLinePunct w:val="0"/>
              <w:bidi w:val="0"/>
              <w:adjustRightInd/>
              <w:spacing w:line="240" w:lineRule="auto"/>
              <w:ind w:firstLine="0"/>
              <w:jc w:val="both"/>
              <w:rPr>
                <w:rFonts w:hint="default" w:cs="宋体"/>
                <w:b w:val="0"/>
                <w:bCs w:val="0"/>
                <w:color w:val="000000"/>
                <w:kern w:val="0"/>
                <w:sz w:val="21"/>
                <w:szCs w:val="21"/>
                <w:lang w:val="zh-CN" w:eastAsia="zh-CN" w:bidi="ar"/>
              </w:rPr>
            </w:pPr>
            <w:r>
              <w:rPr>
                <w:rFonts w:hint="default" w:cs="宋体"/>
                <w:b w:val="0"/>
                <w:bCs w:val="0"/>
                <w:color w:val="000000"/>
                <w:kern w:val="0"/>
                <w:sz w:val="21"/>
                <w:szCs w:val="21"/>
                <w:lang w:val="zh-CN" w:eastAsia="zh-CN" w:bidi="ar"/>
              </w:rPr>
              <w:t>（二）造成麻醉药品或者精神药品无法溯源或者后果扩大的；</w:t>
            </w:r>
          </w:p>
          <w:p>
            <w:pPr>
              <w:pStyle w:val="12"/>
              <w:keepNext w:val="0"/>
              <w:keepLines w:val="0"/>
              <w:pageBreakBefore w:val="0"/>
              <w:kinsoku/>
              <w:wordWrap/>
              <w:overflowPunct/>
              <w:topLinePunct w:val="0"/>
              <w:bidi w:val="0"/>
              <w:adjustRightInd/>
              <w:spacing w:line="240" w:lineRule="auto"/>
              <w:ind w:firstLine="0"/>
              <w:jc w:val="both"/>
              <w:rPr>
                <w:rFonts w:hint="default" w:cs="宋体"/>
                <w:b w:val="0"/>
                <w:bCs w:val="0"/>
                <w:color w:val="000000"/>
                <w:kern w:val="0"/>
                <w:sz w:val="21"/>
                <w:szCs w:val="21"/>
                <w:lang w:val="zh-CN" w:eastAsia="zh-CN" w:bidi="ar"/>
              </w:rPr>
            </w:pPr>
            <w:r>
              <w:rPr>
                <w:rFonts w:hint="default" w:cs="宋体"/>
                <w:b w:val="0"/>
                <w:bCs w:val="0"/>
                <w:color w:val="000000"/>
                <w:kern w:val="0"/>
                <w:sz w:val="21"/>
                <w:szCs w:val="21"/>
                <w:lang w:val="zh-CN" w:eastAsia="zh-CN" w:bidi="ar"/>
              </w:rPr>
              <w:t>（三）运输3次以上的；</w:t>
            </w:r>
          </w:p>
          <w:p>
            <w:pPr>
              <w:pStyle w:val="12"/>
              <w:keepNext w:val="0"/>
              <w:keepLines w:val="0"/>
              <w:pageBreakBefore w:val="0"/>
              <w:kinsoku/>
              <w:wordWrap/>
              <w:overflowPunct/>
              <w:topLinePunct w:val="0"/>
              <w:bidi w:val="0"/>
              <w:adjustRightInd/>
              <w:spacing w:line="240" w:lineRule="auto"/>
              <w:ind w:firstLine="0"/>
              <w:jc w:val="both"/>
              <w:rPr>
                <w:rFonts w:hint="default" w:cs="宋体"/>
                <w:b w:val="0"/>
                <w:bCs w:val="0"/>
                <w:color w:val="000000"/>
                <w:kern w:val="0"/>
                <w:sz w:val="20"/>
                <w:szCs w:val="20"/>
                <w:lang w:val="en-US" w:eastAsia="zh-CN" w:bidi="ar"/>
              </w:rPr>
            </w:pPr>
            <w:r>
              <w:rPr>
                <w:rFonts w:hint="default" w:cs="宋体"/>
                <w:b w:val="0"/>
                <w:bCs w:val="0"/>
                <w:color w:val="000000"/>
                <w:kern w:val="0"/>
                <w:sz w:val="21"/>
                <w:szCs w:val="21"/>
                <w:lang w:val="zh-CN" w:eastAsia="zh-CN" w:bidi="ar"/>
              </w:rPr>
              <w:t>（四）造成麻醉药品或者精神药品流弊的。</w:t>
            </w:r>
          </w:p>
        </w:tc>
      </w:tr>
    </w:tbl>
    <w:p/>
    <w:p/>
    <w:p/>
    <w:p/>
    <w:tbl>
      <w:tblPr>
        <w:tblStyle w:val="8"/>
        <w:tblW w:w="506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85"/>
        <w:gridCol w:w="1632"/>
        <w:gridCol w:w="2856"/>
        <w:gridCol w:w="3145"/>
        <w:gridCol w:w="2964"/>
        <w:gridCol w:w="29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07" w:type="pct"/>
            <w:vMerge w:val="restart"/>
            <w:tcBorders>
              <w:top w:val="single" w:color="auto" w:sz="4" w:space="0"/>
              <w:bottom w:val="nil"/>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ind w:left="14" w:leftChars="0"/>
              <w:jc w:val="center"/>
              <w:rPr>
                <w:rFonts w:hint="default" w:eastAsia="宋体"/>
                <w:b/>
                <w:color w:val="auto"/>
                <w:sz w:val="21"/>
                <w:lang w:val="en-US" w:eastAsia="zh-CN"/>
              </w:rPr>
            </w:pPr>
            <w:r>
              <w:rPr>
                <w:rFonts w:hint="eastAsia"/>
                <w:b/>
                <w:color w:val="auto"/>
                <w:sz w:val="21"/>
                <w:lang w:val="en-US" w:eastAsia="zh-CN"/>
              </w:rPr>
              <w:t>47</w:t>
            </w:r>
          </w:p>
        </w:tc>
        <w:tc>
          <w:tcPr>
            <w:tcW w:w="577" w:type="pct"/>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eastAsia="宋体"/>
                <w:b/>
                <w:color w:val="auto"/>
                <w:sz w:val="21"/>
                <w:lang w:eastAsia="zh-CN"/>
              </w:rPr>
            </w:pPr>
            <w:r>
              <w:rPr>
                <w:rFonts w:hint="eastAsia" w:ascii="Microsoft JhengHei"/>
                <w:b/>
                <w:color w:val="auto"/>
                <w:sz w:val="21"/>
                <w:lang w:eastAsia="zh-CN"/>
              </w:rPr>
              <w:t>裁量条款</w:t>
            </w:r>
          </w:p>
        </w:tc>
        <w:tc>
          <w:tcPr>
            <w:tcW w:w="4215" w:type="pct"/>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ascii="Microsoft JhengHei"/>
                <w:b/>
                <w:color w:val="auto"/>
                <w:sz w:val="21"/>
                <w:lang w:val="en-US"/>
              </w:rPr>
            </w:pPr>
            <w:r>
              <w:rPr>
                <w:rFonts w:hint="eastAsia" w:ascii="Microsoft JhengHei"/>
                <w:b/>
                <w:color w:val="auto"/>
                <w:sz w:val="21"/>
                <w:lang w:val="en-US" w:eastAsia="zh-CN"/>
              </w:rPr>
              <w:t>第四十七条  本条是对《麻醉药品和精神药品管理条例》第七十五条“处1万元以上3万元以下的罚款”裁量基准的规定。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07"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color w:val="auto"/>
                <w:sz w:val="2"/>
                <w:szCs w:val="2"/>
              </w:rPr>
            </w:pPr>
          </w:p>
        </w:tc>
        <w:tc>
          <w:tcPr>
            <w:tcW w:w="577" w:type="pct"/>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eastAsia="宋体"/>
                <w:b/>
                <w:color w:val="auto"/>
                <w:sz w:val="21"/>
                <w:lang w:val="en-US" w:eastAsia="zh-CN"/>
              </w:rPr>
            </w:pPr>
            <w:r>
              <w:rPr>
                <w:rFonts w:hint="eastAsia" w:ascii="Microsoft JhengHei"/>
                <w:b/>
                <w:color w:val="auto"/>
                <w:sz w:val="21"/>
                <w:lang w:val="en-US" w:eastAsia="zh-CN"/>
              </w:rPr>
              <w:t>关联法条</w:t>
            </w:r>
          </w:p>
        </w:tc>
        <w:tc>
          <w:tcPr>
            <w:tcW w:w="4215" w:type="pct"/>
            <w:gridSpan w:val="4"/>
            <w:tcBorders>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eastAsia"/>
                <w:color w:val="auto"/>
                <w:sz w:val="21"/>
              </w:rPr>
            </w:pPr>
            <w:r>
              <w:rPr>
                <w:rFonts w:hint="eastAsia"/>
                <w:color w:val="auto"/>
                <w:sz w:val="21"/>
                <w:lang w:val="en-US" w:eastAsia="zh-CN"/>
              </w:rPr>
              <w:t>《麻醉药品和精神药品管理条例》第七十五条 提供虚假材料、隐瞒有关情况，或者采取其他欺骗手段取得麻醉药品和精神药品的实验研究、生产、经营、使用资格的，由原审批部门撤销其已取得的资格，5年内不得提出有关麻醉药品和精神药品的申请；情节严重的，处1万元以上3万元以下的罚款，有药品生产许可证、药品经营许可证、医疗机构执业许可证的，依法吊销其许可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207"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color w:val="auto"/>
                <w:sz w:val="2"/>
                <w:szCs w:val="2"/>
              </w:rPr>
            </w:pPr>
          </w:p>
        </w:tc>
        <w:tc>
          <w:tcPr>
            <w:tcW w:w="577"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color w:val="auto"/>
                <w:sz w:val="21"/>
                <w:lang w:val="en-US" w:eastAsia="zh-CN"/>
              </w:rPr>
            </w:pPr>
            <w:r>
              <w:rPr>
                <w:rFonts w:hint="eastAsia" w:ascii="Microsoft JhengHei"/>
                <w:b/>
                <w:color w:val="auto"/>
                <w:sz w:val="21"/>
                <w:lang w:val="en-US" w:eastAsia="zh-CN"/>
              </w:rPr>
              <w:t>裁量等级</w:t>
            </w:r>
          </w:p>
        </w:tc>
        <w:tc>
          <w:tcPr>
            <w:tcW w:w="1010"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color w:val="auto"/>
                <w:sz w:val="21"/>
                <w:lang w:val="en-US" w:eastAsia="zh-CN"/>
              </w:rPr>
            </w:pPr>
            <w:r>
              <w:rPr>
                <w:rFonts w:hint="eastAsia" w:ascii="Microsoft JhengHei"/>
                <w:b/>
                <w:color w:val="auto"/>
                <w:sz w:val="21"/>
                <w:lang w:val="en-US" w:eastAsia="zh-CN"/>
              </w:rPr>
              <w:t>减轻处罚幅度</w:t>
            </w:r>
          </w:p>
        </w:tc>
        <w:tc>
          <w:tcPr>
            <w:tcW w:w="1112"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color w:val="auto"/>
                <w:sz w:val="21"/>
                <w:lang w:val="en-US" w:eastAsia="zh-CN"/>
              </w:rPr>
            </w:pPr>
            <w:r>
              <w:rPr>
                <w:rFonts w:hint="eastAsia" w:ascii="Microsoft JhengHei"/>
                <w:b/>
                <w:color w:val="auto"/>
                <w:sz w:val="21"/>
                <w:lang w:val="en-US" w:eastAsia="zh-CN"/>
              </w:rPr>
              <w:t>从轻处罚幅度</w:t>
            </w:r>
          </w:p>
        </w:tc>
        <w:tc>
          <w:tcPr>
            <w:tcW w:w="1048"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color w:val="auto"/>
                <w:sz w:val="21"/>
                <w:lang w:val="en-US" w:eastAsia="zh-CN"/>
              </w:rPr>
            </w:pPr>
            <w:r>
              <w:rPr>
                <w:rFonts w:hint="eastAsia" w:ascii="Microsoft JhengHei"/>
                <w:b/>
                <w:color w:val="auto"/>
                <w:sz w:val="21"/>
                <w:lang w:val="en-US" w:eastAsia="zh-CN"/>
              </w:rPr>
              <w:t>一般处罚幅度</w:t>
            </w:r>
          </w:p>
        </w:tc>
        <w:tc>
          <w:tcPr>
            <w:tcW w:w="1045"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color w:val="auto"/>
                <w:sz w:val="21"/>
                <w:lang w:val="en-US" w:eastAsia="zh-CN"/>
              </w:rPr>
            </w:pPr>
            <w:r>
              <w:rPr>
                <w:rFonts w:hint="eastAsia" w:ascii="Microsoft JhengHei"/>
                <w:b/>
                <w:color w:val="auto"/>
                <w:sz w:val="21"/>
                <w:lang w:val="en-US"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207"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color w:val="auto"/>
                <w:sz w:val="2"/>
                <w:szCs w:val="2"/>
              </w:rPr>
            </w:pPr>
          </w:p>
        </w:tc>
        <w:tc>
          <w:tcPr>
            <w:tcW w:w="577"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b/>
                <w:color w:val="auto"/>
                <w:sz w:val="21"/>
                <w:lang w:val="en-US" w:eastAsia="zh-CN"/>
              </w:rPr>
            </w:pPr>
            <w:r>
              <w:rPr>
                <w:rFonts w:hint="eastAsia" w:ascii="Microsoft JhengHei"/>
                <w:b/>
                <w:color w:val="auto"/>
                <w:sz w:val="21"/>
                <w:lang w:val="en-US" w:eastAsia="zh-CN"/>
              </w:rPr>
              <w:t>裁量基准</w:t>
            </w:r>
          </w:p>
        </w:tc>
        <w:tc>
          <w:tcPr>
            <w:tcW w:w="1010"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color w:val="auto"/>
                <w:sz w:val="21"/>
                <w:lang w:val="en-US" w:eastAsia="zh-CN"/>
              </w:rPr>
            </w:pPr>
          </w:p>
        </w:tc>
        <w:tc>
          <w:tcPr>
            <w:tcW w:w="1112"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color w:val="auto"/>
                <w:sz w:val="21"/>
                <w:lang w:val="en-US" w:eastAsia="zh-CN"/>
              </w:rPr>
            </w:pPr>
            <w:r>
              <w:rPr>
                <w:rFonts w:hint="eastAsia"/>
                <w:color w:val="auto"/>
                <w:sz w:val="21"/>
                <w:lang w:val="en-US" w:eastAsia="zh-CN"/>
              </w:rPr>
              <w:t>从轻行政处罚，处1万元至1.6万元的罚款。</w:t>
            </w:r>
          </w:p>
        </w:tc>
        <w:tc>
          <w:tcPr>
            <w:tcW w:w="1048"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color w:val="auto"/>
                <w:sz w:val="21"/>
                <w:lang w:val="en-US" w:eastAsia="zh-CN"/>
              </w:rPr>
            </w:pPr>
            <w:r>
              <w:rPr>
                <w:rFonts w:hint="eastAsia"/>
                <w:color w:val="auto"/>
                <w:sz w:val="21"/>
                <w:lang w:val="en-US" w:eastAsia="zh-CN"/>
              </w:rPr>
              <w:t>一般行政处罚，处1.6万元以上2.4万元以下的罚款。</w:t>
            </w:r>
          </w:p>
        </w:tc>
        <w:tc>
          <w:tcPr>
            <w:tcW w:w="1045"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color w:val="auto"/>
                <w:sz w:val="21"/>
                <w:lang w:val="en-US" w:eastAsia="zh-CN"/>
              </w:rPr>
            </w:pPr>
            <w:r>
              <w:rPr>
                <w:rFonts w:hint="eastAsia"/>
                <w:color w:val="auto"/>
                <w:sz w:val="21"/>
                <w:lang w:val="en-US" w:eastAsia="zh-CN"/>
              </w:rPr>
              <w:t>从重行政处罚，处2.4万元至3万元的罚款。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7" w:hRule="atLeast"/>
        </w:trPr>
        <w:tc>
          <w:tcPr>
            <w:tcW w:w="207" w:type="pct"/>
            <w:vMerge w:val="continue"/>
            <w:tcBorders>
              <w:top w:val="single" w:color="000000" w:sz="8" w:space="0"/>
              <w:left w:val="single" w:color="000000" w:sz="8" w:space="0"/>
              <w:right w:val="single" w:color="auto" w:sz="4" w:space="0"/>
            </w:tcBorders>
            <w:noWrap w:val="0"/>
            <w:vAlign w:val="top"/>
          </w:tcPr>
          <w:p>
            <w:pPr>
              <w:keepNext w:val="0"/>
              <w:keepLines w:val="0"/>
              <w:pageBreakBefore w:val="0"/>
              <w:kinsoku/>
              <w:wordWrap/>
              <w:overflowPunct/>
              <w:topLinePunct w:val="0"/>
              <w:bidi w:val="0"/>
              <w:adjustRightInd/>
              <w:spacing w:line="240" w:lineRule="auto"/>
              <w:jc w:val="center"/>
              <w:rPr>
                <w:rFonts w:hint="eastAsia" w:eastAsia="宋体"/>
                <w:color w:val="auto"/>
                <w:lang w:val="en-US" w:eastAsia="zh-CN"/>
              </w:rPr>
            </w:pPr>
          </w:p>
        </w:tc>
        <w:tc>
          <w:tcPr>
            <w:tcW w:w="577" w:type="pct"/>
            <w:tcBorders>
              <w:top w:val="single" w:color="000000" w:sz="8" w:space="0"/>
              <w:left w:val="single" w:color="auto" w:sz="4" w:space="0"/>
              <w:bottom w:val="single" w:color="auto" w:sz="4"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2" w:line="240" w:lineRule="exact"/>
              <w:ind w:left="17" w:leftChars="0" w:right="11" w:rightChars="0"/>
              <w:jc w:val="both"/>
              <w:textAlignment w:val="auto"/>
              <w:rPr>
                <w:rFonts w:hint="eastAsia" w:eastAsia="宋体"/>
                <w:color w:val="auto"/>
                <w:sz w:val="21"/>
                <w:lang w:val="en-US" w:eastAsia="zh-CN"/>
              </w:rPr>
            </w:pPr>
            <w:r>
              <w:rPr>
                <w:rFonts w:hint="eastAsia" w:ascii="Microsoft JhengHei" w:eastAsia="Microsoft JhengHei"/>
                <w:b/>
                <w:color w:val="auto"/>
                <w:sz w:val="21"/>
                <w:lang w:val="en-US" w:eastAsia="zh-CN"/>
              </w:rPr>
              <w:t>裁量因素</w:t>
            </w:r>
            <w:r>
              <w:rPr>
                <w:rFonts w:hint="eastAsia" w:ascii="Microsoft JhengHei" w:eastAsia="Microsoft JhengHei"/>
                <w:b w:val="0"/>
                <w:bCs/>
                <w:color w:val="auto"/>
                <w:sz w:val="21"/>
                <w:lang w:val="en-US" w:eastAsia="zh-CN"/>
              </w:rPr>
              <w:t>（是指在进行裁量时，除裁量规则规定的从轻、减轻、从重情形外，可以考虑的因素）</w:t>
            </w:r>
          </w:p>
        </w:tc>
        <w:tc>
          <w:tcPr>
            <w:tcW w:w="4215" w:type="pct"/>
            <w:gridSpan w:val="4"/>
            <w:tcBorders>
              <w:top w:val="single" w:color="000000" w:sz="8" w:space="0"/>
              <w:left w:val="single" w:color="auto" w:sz="4" w:space="0"/>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right="0"/>
              <w:jc w:val="both"/>
              <w:textAlignment w:val="auto"/>
              <w:rPr>
                <w:rFonts w:hint="default" w:cs="宋体"/>
                <w:b w:val="0"/>
                <w:bCs w:val="0"/>
                <w:color w:val="auto"/>
                <w:kern w:val="0"/>
                <w:sz w:val="21"/>
                <w:szCs w:val="21"/>
                <w:lang w:val="zh-CN" w:eastAsia="zh-CN" w:bidi="ar"/>
              </w:rPr>
            </w:pPr>
            <w:r>
              <w:rPr>
                <w:rFonts w:hint="eastAsia" w:ascii="宋体" w:hAnsi="宋体" w:eastAsia="宋体" w:cs="宋体"/>
                <w:b/>
                <w:bCs/>
                <w:color w:val="auto"/>
                <w:kern w:val="0"/>
                <w:sz w:val="21"/>
                <w:szCs w:val="21"/>
                <w:lang w:val="en-US" w:eastAsia="zh-CN" w:bidi="ar"/>
              </w:rPr>
              <w:t>从轻处罚考虑因素：</w:t>
            </w:r>
            <w:r>
              <w:rPr>
                <w:rFonts w:hint="default" w:cs="宋体"/>
                <w:b w:val="0"/>
                <w:bCs w:val="0"/>
                <w:color w:val="auto"/>
                <w:kern w:val="0"/>
                <w:sz w:val="21"/>
                <w:szCs w:val="21"/>
                <w:lang w:val="zh-CN" w:eastAsia="zh-CN" w:bidi="ar"/>
              </w:rPr>
              <w:t>已经经营或者使用，且货值金额在1万元以下，或者已经开始试验研究的。</w:t>
            </w:r>
          </w:p>
          <w:p>
            <w:pPr>
              <w:pStyle w:val="11"/>
              <w:keepNext w:val="0"/>
              <w:keepLines w:val="0"/>
              <w:pageBreakBefore w:val="0"/>
              <w:kinsoku/>
              <w:wordWrap/>
              <w:overflowPunct/>
              <w:topLinePunct w:val="0"/>
              <w:autoSpaceDE w:val="0"/>
              <w:autoSpaceDN w:val="0"/>
              <w:bidi w:val="0"/>
              <w:adjustRightInd/>
              <w:snapToGrid/>
              <w:spacing w:line="240" w:lineRule="auto"/>
              <w:ind w:right="0" w:rightChars="0"/>
              <w:jc w:val="both"/>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从重处罚考虑因素：</w:t>
            </w:r>
          </w:p>
          <w:p>
            <w:pPr>
              <w:pStyle w:val="11"/>
              <w:keepNext w:val="0"/>
              <w:keepLines w:val="0"/>
              <w:pageBreakBefore w:val="0"/>
              <w:kinsoku/>
              <w:wordWrap/>
              <w:overflowPunct/>
              <w:topLinePunct w:val="0"/>
              <w:autoSpaceDE w:val="0"/>
              <w:autoSpaceDN w:val="0"/>
              <w:bidi w:val="0"/>
              <w:adjustRightInd/>
              <w:snapToGrid/>
              <w:spacing w:line="240" w:lineRule="auto"/>
              <w:ind w:right="0" w:rightChars="0"/>
              <w:jc w:val="both"/>
              <w:textAlignment w:val="auto"/>
              <w:rPr>
                <w:rFonts w:hint="default" w:cs="宋体"/>
                <w:b w:val="0"/>
                <w:bCs w:val="0"/>
                <w:color w:val="auto"/>
                <w:kern w:val="0"/>
                <w:sz w:val="21"/>
                <w:szCs w:val="21"/>
                <w:lang w:val="zh-CN" w:eastAsia="zh-CN" w:bidi="ar"/>
              </w:rPr>
            </w:pPr>
            <w:r>
              <w:rPr>
                <w:rFonts w:hint="default" w:cs="宋体"/>
                <w:b w:val="0"/>
                <w:bCs w:val="0"/>
                <w:color w:val="auto"/>
                <w:kern w:val="0"/>
                <w:sz w:val="21"/>
                <w:szCs w:val="21"/>
                <w:lang w:val="zh-CN" w:eastAsia="zh-CN" w:bidi="ar"/>
              </w:rPr>
              <w:t>（一）已经生产的；</w:t>
            </w:r>
          </w:p>
          <w:p>
            <w:pPr>
              <w:pStyle w:val="11"/>
              <w:keepNext w:val="0"/>
              <w:keepLines w:val="0"/>
              <w:pageBreakBefore w:val="0"/>
              <w:kinsoku/>
              <w:wordWrap/>
              <w:overflowPunct/>
              <w:topLinePunct w:val="0"/>
              <w:autoSpaceDE w:val="0"/>
              <w:autoSpaceDN w:val="0"/>
              <w:bidi w:val="0"/>
              <w:adjustRightInd/>
              <w:snapToGrid/>
              <w:spacing w:line="240" w:lineRule="auto"/>
              <w:ind w:right="0" w:rightChars="0"/>
              <w:jc w:val="both"/>
              <w:textAlignment w:val="auto"/>
              <w:rPr>
                <w:rFonts w:hint="default" w:cs="宋体"/>
                <w:b w:val="0"/>
                <w:bCs w:val="0"/>
                <w:color w:val="auto"/>
                <w:kern w:val="0"/>
                <w:sz w:val="21"/>
                <w:szCs w:val="21"/>
                <w:lang w:val="zh-CN" w:eastAsia="zh-CN" w:bidi="ar"/>
              </w:rPr>
            </w:pPr>
            <w:r>
              <w:rPr>
                <w:rFonts w:hint="default" w:cs="宋体"/>
                <w:b w:val="0"/>
                <w:bCs w:val="0"/>
                <w:color w:val="auto"/>
                <w:kern w:val="0"/>
                <w:sz w:val="21"/>
                <w:szCs w:val="21"/>
                <w:lang w:val="zh-CN" w:eastAsia="zh-CN" w:bidi="ar"/>
              </w:rPr>
              <w:t>（二）已经经营或者使用，货值金额在1万元以上的；</w:t>
            </w:r>
          </w:p>
          <w:p>
            <w:pPr>
              <w:pStyle w:val="11"/>
              <w:keepNext w:val="0"/>
              <w:keepLines w:val="0"/>
              <w:pageBreakBefore w:val="0"/>
              <w:kinsoku/>
              <w:wordWrap/>
              <w:overflowPunct/>
              <w:topLinePunct w:val="0"/>
              <w:autoSpaceDE w:val="0"/>
              <w:autoSpaceDN w:val="0"/>
              <w:bidi w:val="0"/>
              <w:adjustRightInd/>
              <w:snapToGrid/>
              <w:spacing w:line="240" w:lineRule="auto"/>
              <w:ind w:right="0" w:rightChars="0"/>
              <w:jc w:val="both"/>
              <w:textAlignment w:val="auto"/>
              <w:rPr>
                <w:color w:val="auto"/>
              </w:rPr>
            </w:pPr>
            <w:r>
              <w:rPr>
                <w:rFonts w:hint="default" w:cs="宋体"/>
                <w:b w:val="0"/>
                <w:bCs w:val="0"/>
                <w:color w:val="auto"/>
                <w:kern w:val="0"/>
                <w:sz w:val="21"/>
                <w:szCs w:val="21"/>
                <w:lang w:val="zh-CN" w:eastAsia="zh-CN" w:bidi="ar"/>
              </w:rPr>
              <w:t>（三）造成麻醉药品或者精神药品流弊的。</w:t>
            </w:r>
          </w:p>
        </w:tc>
      </w:tr>
    </w:tbl>
    <w:p/>
    <w:p/>
    <w:p/>
    <w:p/>
    <w:p/>
    <w:p/>
    <w:tbl>
      <w:tblPr>
        <w:tblStyle w:val="8"/>
        <w:tblW w:w="506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80"/>
        <w:gridCol w:w="1633"/>
        <w:gridCol w:w="2859"/>
        <w:gridCol w:w="3165"/>
        <w:gridCol w:w="2949"/>
        <w:gridCol w:w="2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05" w:type="pct"/>
            <w:vMerge w:val="restart"/>
            <w:tcBorders>
              <w:top w:val="single" w:color="auto" w:sz="4" w:space="0"/>
              <w:bottom w:val="nil"/>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ind w:left="14" w:leftChars="0"/>
              <w:jc w:val="center"/>
              <w:rPr>
                <w:rFonts w:hint="default" w:eastAsia="宋体"/>
                <w:b/>
                <w:sz w:val="21"/>
                <w:lang w:val="en-US" w:eastAsia="zh-CN"/>
              </w:rPr>
            </w:pPr>
            <w:r>
              <w:rPr>
                <w:rFonts w:hint="eastAsia"/>
                <w:b/>
                <w:sz w:val="21"/>
                <w:lang w:val="en-US" w:eastAsia="zh-CN"/>
              </w:rPr>
              <w:t>48</w:t>
            </w:r>
          </w:p>
        </w:tc>
        <w:tc>
          <w:tcPr>
            <w:tcW w:w="577" w:type="pct"/>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eastAsia="宋体"/>
                <w:b/>
                <w:sz w:val="21"/>
                <w:lang w:eastAsia="zh-CN"/>
              </w:rPr>
            </w:pPr>
            <w:r>
              <w:rPr>
                <w:rFonts w:hint="eastAsia" w:ascii="Microsoft JhengHei"/>
                <w:b/>
                <w:sz w:val="21"/>
                <w:lang w:eastAsia="zh-CN"/>
              </w:rPr>
              <w:t>裁量条款</w:t>
            </w:r>
          </w:p>
        </w:tc>
        <w:tc>
          <w:tcPr>
            <w:tcW w:w="4217" w:type="pct"/>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hint="eastAsia" w:ascii="Microsoft JhengHei"/>
                <w:b/>
                <w:sz w:val="21"/>
                <w:lang w:val="en-US" w:eastAsia="zh-CN"/>
              </w:rPr>
            </w:pPr>
            <w:r>
              <w:rPr>
                <w:rFonts w:hint="eastAsia" w:ascii="Microsoft JhengHei"/>
                <w:b/>
                <w:sz w:val="21"/>
                <w:lang w:val="en-US" w:eastAsia="zh-CN"/>
              </w:rPr>
              <w:t>第四十八条  本条是对《麻醉药品和精神药品管理条例》第七十九条“并处5万元以上10万元以下的罚款”裁量基准的规定。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205"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7" w:type="pct"/>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eastAsia="宋体"/>
                <w:b/>
                <w:sz w:val="21"/>
                <w:lang w:val="en-US" w:eastAsia="zh-CN"/>
              </w:rPr>
            </w:pPr>
            <w:r>
              <w:rPr>
                <w:rFonts w:hint="eastAsia" w:ascii="Microsoft JhengHei"/>
                <w:b/>
                <w:sz w:val="21"/>
                <w:lang w:val="en-US" w:eastAsia="zh-CN"/>
              </w:rPr>
              <w:t>关联法条</w:t>
            </w:r>
          </w:p>
        </w:tc>
        <w:tc>
          <w:tcPr>
            <w:tcW w:w="4217" w:type="pct"/>
            <w:gridSpan w:val="4"/>
            <w:tcBorders>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eastAsia"/>
                <w:sz w:val="21"/>
              </w:rPr>
            </w:pPr>
            <w:r>
              <w:rPr>
                <w:rFonts w:hint="eastAsia"/>
                <w:sz w:val="21"/>
                <w:lang w:val="en-US" w:eastAsia="zh-CN"/>
              </w:rPr>
              <w:t>《麻醉药品和精神药品管理条例》第七十九条 定点生产企业、定点批发企业和其他单位使用现金进行麻醉药品和精神药品交易的，由药品监督管理部门责令改正，给予警告，没收违法交易的药品，并处5万元以上10万元以下的罚款。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05"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7"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eastAsia="宋体"/>
                <w:b/>
                <w:sz w:val="21"/>
                <w:lang w:val="en-US" w:eastAsia="zh-CN"/>
              </w:rPr>
            </w:pPr>
            <w:r>
              <w:rPr>
                <w:rFonts w:hint="eastAsia" w:ascii="Microsoft JhengHei" w:eastAsia="宋体"/>
                <w:b/>
                <w:sz w:val="21"/>
                <w:lang w:val="en-US" w:eastAsia="zh-CN"/>
              </w:rPr>
              <w:t>裁量等级</w:t>
            </w:r>
          </w:p>
        </w:tc>
        <w:tc>
          <w:tcPr>
            <w:tcW w:w="1010"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减轻处罚幅度</w:t>
            </w:r>
          </w:p>
        </w:tc>
        <w:tc>
          <w:tcPr>
            <w:tcW w:w="1118"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从轻处罚幅度</w:t>
            </w:r>
          </w:p>
        </w:tc>
        <w:tc>
          <w:tcPr>
            <w:tcW w:w="1042"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一般处罚幅度</w:t>
            </w:r>
          </w:p>
        </w:tc>
        <w:tc>
          <w:tcPr>
            <w:tcW w:w="1046"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05"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7"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eastAsia="宋体"/>
                <w:b/>
                <w:sz w:val="21"/>
                <w:lang w:val="en-US" w:eastAsia="zh-CN"/>
              </w:rPr>
            </w:pPr>
            <w:r>
              <w:rPr>
                <w:rFonts w:hint="eastAsia" w:ascii="Microsoft JhengHei" w:eastAsia="宋体"/>
                <w:b/>
                <w:sz w:val="21"/>
                <w:lang w:val="en-US" w:eastAsia="zh-CN"/>
              </w:rPr>
              <w:t>裁量基准</w:t>
            </w:r>
          </w:p>
        </w:tc>
        <w:tc>
          <w:tcPr>
            <w:tcW w:w="1010"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r>
              <w:rPr>
                <w:rFonts w:hint="eastAsia"/>
                <w:sz w:val="21"/>
                <w:lang w:val="en-US" w:eastAsia="zh-CN"/>
              </w:rPr>
              <w:t>符合裁量规则减轻行政处罚情形的，处5万元以下的罚款。</w:t>
            </w:r>
          </w:p>
        </w:tc>
        <w:tc>
          <w:tcPr>
            <w:tcW w:w="1118"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从轻行政处罚，处5万元至6.5万元的罚款。</w:t>
            </w:r>
          </w:p>
        </w:tc>
        <w:tc>
          <w:tcPr>
            <w:tcW w:w="1042"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一般行政处罚，处6.5万元以上8.5万元以下的罚款。</w:t>
            </w:r>
          </w:p>
        </w:tc>
        <w:tc>
          <w:tcPr>
            <w:tcW w:w="1046"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从重行政处罚，处8.5万元至10万元的罚款。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9" w:hRule="atLeast"/>
        </w:trPr>
        <w:tc>
          <w:tcPr>
            <w:tcW w:w="205" w:type="pct"/>
            <w:vMerge w:val="continue"/>
            <w:tcBorders>
              <w:top w:val="single" w:color="000000" w:sz="8" w:space="0"/>
              <w:left w:val="single" w:color="000000" w:sz="8" w:space="0"/>
              <w:right w:val="single" w:color="auto" w:sz="4" w:space="0"/>
            </w:tcBorders>
            <w:noWrap w:val="0"/>
            <w:vAlign w:val="top"/>
          </w:tcPr>
          <w:p>
            <w:pPr>
              <w:keepNext w:val="0"/>
              <w:keepLines w:val="0"/>
              <w:pageBreakBefore w:val="0"/>
              <w:kinsoku/>
              <w:wordWrap/>
              <w:overflowPunct/>
              <w:topLinePunct w:val="0"/>
              <w:bidi w:val="0"/>
              <w:adjustRightInd/>
              <w:spacing w:line="240" w:lineRule="auto"/>
              <w:jc w:val="center"/>
              <w:rPr>
                <w:rFonts w:hint="eastAsia" w:eastAsia="宋体"/>
                <w:lang w:val="en-US" w:eastAsia="zh-CN"/>
              </w:rPr>
            </w:pPr>
          </w:p>
        </w:tc>
        <w:tc>
          <w:tcPr>
            <w:tcW w:w="577" w:type="pct"/>
            <w:tcBorders>
              <w:top w:val="single" w:color="000000" w:sz="8" w:space="0"/>
              <w:left w:val="single" w:color="auto" w:sz="4" w:space="0"/>
              <w:bottom w:val="single" w:color="auto" w:sz="4"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2" w:line="240" w:lineRule="exact"/>
              <w:ind w:left="17" w:leftChars="0" w:right="11" w:rightChars="0"/>
              <w:jc w:val="both"/>
              <w:textAlignment w:val="auto"/>
              <w:rPr>
                <w:rFonts w:hint="eastAsia" w:eastAsia="宋体"/>
                <w:sz w:val="21"/>
                <w:lang w:val="en-US" w:eastAsia="zh-CN"/>
              </w:rPr>
            </w:pPr>
            <w:r>
              <w:rPr>
                <w:rFonts w:hint="eastAsia" w:ascii="Microsoft JhengHei" w:eastAsia="Microsoft JhengHei"/>
                <w:b/>
                <w:sz w:val="21"/>
                <w:lang w:val="en-US" w:eastAsia="zh-CN"/>
              </w:rPr>
              <w:t>裁量因素</w:t>
            </w:r>
            <w:r>
              <w:rPr>
                <w:rFonts w:hint="eastAsia" w:ascii="Microsoft JhengHei" w:eastAsia="Microsoft JhengHei"/>
                <w:b w:val="0"/>
                <w:bCs/>
                <w:sz w:val="21"/>
                <w:lang w:val="en-US" w:eastAsia="zh-CN"/>
              </w:rPr>
              <w:t>（是指在进行裁量时，除裁量规则规定的从轻、减轻、从重情形外，可以考虑的因素）</w:t>
            </w:r>
          </w:p>
        </w:tc>
        <w:tc>
          <w:tcPr>
            <w:tcW w:w="4217" w:type="pct"/>
            <w:gridSpan w:val="4"/>
            <w:tcBorders>
              <w:top w:val="single" w:color="000000" w:sz="8" w:space="0"/>
              <w:left w:val="single" w:color="auto" w:sz="4" w:space="0"/>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both"/>
              <w:textAlignment w:val="auto"/>
              <w:rPr>
                <w:rFonts w:hint="eastAsia" w:cs="宋体"/>
                <w:b w:val="0"/>
                <w:bCs w:val="0"/>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从轻处罚考虑因素：</w:t>
            </w:r>
            <w:r>
              <w:rPr>
                <w:rFonts w:hint="eastAsia" w:cs="宋体"/>
                <w:b w:val="0"/>
                <w:bCs w:val="0"/>
                <w:color w:val="000000"/>
                <w:kern w:val="0"/>
                <w:sz w:val="21"/>
                <w:szCs w:val="21"/>
                <w:lang w:val="en-US" w:eastAsia="zh-CN" w:bidi="ar"/>
              </w:rPr>
              <w:t>现金交易额累计1万元以下，且未造成麻醉药品或者精神药品流弊的。</w:t>
            </w:r>
          </w:p>
          <w:p>
            <w:pPr>
              <w:pStyle w:val="11"/>
              <w:keepNext w:val="0"/>
              <w:keepLines w:val="0"/>
              <w:pageBreakBefore w:val="0"/>
              <w:kinsoku/>
              <w:wordWrap/>
              <w:overflowPunct/>
              <w:topLinePunct w:val="0"/>
              <w:autoSpaceDE w:val="0"/>
              <w:autoSpaceDN w:val="0"/>
              <w:bidi w:val="0"/>
              <w:adjustRightInd/>
              <w:snapToGrid/>
              <w:spacing w:before="2" w:line="240" w:lineRule="auto"/>
              <w:ind w:right="11" w:rightChars="0"/>
              <w:jc w:val="both"/>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从重处罚考虑因素：</w:t>
            </w:r>
          </w:p>
          <w:p>
            <w:pPr>
              <w:pStyle w:val="11"/>
              <w:keepNext w:val="0"/>
              <w:keepLines w:val="0"/>
              <w:pageBreakBefore w:val="0"/>
              <w:kinsoku/>
              <w:wordWrap/>
              <w:overflowPunct/>
              <w:topLinePunct w:val="0"/>
              <w:autoSpaceDE w:val="0"/>
              <w:autoSpaceDN w:val="0"/>
              <w:bidi w:val="0"/>
              <w:adjustRightInd/>
              <w:snapToGrid/>
              <w:spacing w:before="2" w:line="240" w:lineRule="auto"/>
              <w:ind w:right="11" w:rightChars="0"/>
              <w:jc w:val="both"/>
              <w:textAlignment w:val="auto"/>
              <w:rPr>
                <w:rFonts w:hint="eastAsia" w:cs="宋体"/>
                <w:b w:val="0"/>
                <w:bCs w:val="0"/>
                <w:color w:val="000000"/>
                <w:kern w:val="0"/>
                <w:sz w:val="21"/>
                <w:szCs w:val="21"/>
                <w:lang w:val="en-US" w:eastAsia="zh-CN" w:bidi="ar"/>
              </w:rPr>
            </w:pPr>
            <w:r>
              <w:rPr>
                <w:rFonts w:hint="eastAsia" w:cs="宋体"/>
                <w:b w:val="0"/>
                <w:bCs w:val="0"/>
                <w:color w:val="000000"/>
                <w:kern w:val="0"/>
                <w:sz w:val="21"/>
                <w:szCs w:val="21"/>
                <w:lang w:val="en-US" w:eastAsia="zh-CN" w:bidi="ar"/>
              </w:rPr>
              <w:t>（一）现金交易额累计5万元以上的；</w:t>
            </w:r>
          </w:p>
          <w:p>
            <w:pPr>
              <w:pStyle w:val="11"/>
              <w:keepNext w:val="0"/>
              <w:keepLines w:val="0"/>
              <w:pageBreakBefore w:val="0"/>
              <w:kinsoku/>
              <w:wordWrap/>
              <w:overflowPunct/>
              <w:topLinePunct w:val="0"/>
              <w:autoSpaceDE w:val="0"/>
              <w:autoSpaceDN w:val="0"/>
              <w:bidi w:val="0"/>
              <w:adjustRightInd/>
              <w:snapToGrid/>
              <w:spacing w:before="2" w:line="240" w:lineRule="auto"/>
              <w:ind w:right="11" w:rightChars="0"/>
              <w:jc w:val="both"/>
              <w:textAlignment w:val="auto"/>
              <w:rPr>
                <w:rFonts w:hint="eastAsia" w:cs="宋体"/>
                <w:b w:val="0"/>
                <w:bCs w:val="0"/>
                <w:color w:val="000000"/>
                <w:kern w:val="0"/>
                <w:sz w:val="21"/>
                <w:szCs w:val="21"/>
                <w:lang w:val="en-US" w:eastAsia="zh-CN" w:bidi="ar"/>
              </w:rPr>
            </w:pPr>
            <w:r>
              <w:rPr>
                <w:rFonts w:hint="eastAsia" w:cs="宋体"/>
                <w:b w:val="0"/>
                <w:bCs w:val="0"/>
                <w:color w:val="000000"/>
                <w:kern w:val="0"/>
                <w:sz w:val="21"/>
                <w:szCs w:val="21"/>
                <w:lang w:val="en-US" w:eastAsia="zh-CN" w:bidi="ar"/>
              </w:rPr>
              <w:t>（二）造成麻醉药品或者精神药品流弊的；</w:t>
            </w:r>
          </w:p>
          <w:p>
            <w:pPr>
              <w:pStyle w:val="11"/>
              <w:keepNext w:val="0"/>
              <w:keepLines w:val="0"/>
              <w:pageBreakBefore w:val="0"/>
              <w:kinsoku/>
              <w:wordWrap/>
              <w:overflowPunct/>
              <w:topLinePunct w:val="0"/>
              <w:autoSpaceDE w:val="0"/>
              <w:autoSpaceDN w:val="0"/>
              <w:bidi w:val="0"/>
              <w:adjustRightInd/>
              <w:snapToGrid/>
              <w:spacing w:before="2" w:line="240" w:lineRule="auto"/>
              <w:ind w:right="11" w:rightChars="0"/>
              <w:jc w:val="both"/>
              <w:textAlignment w:val="auto"/>
            </w:pPr>
            <w:r>
              <w:rPr>
                <w:rFonts w:hint="eastAsia" w:cs="宋体"/>
                <w:b w:val="0"/>
                <w:bCs w:val="0"/>
                <w:color w:val="000000"/>
                <w:kern w:val="0"/>
                <w:sz w:val="21"/>
                <w:szCs w:val="21"/>
                <w:lang w:val="en-US" w:eastAsia="zh-CN" w:bidi="ar"/>
              </w:rPr>
              <w:t>（三）一年内3次以上使用现金交易的。</w:t>
            </w:r>
          </w:p>
        </w:tc>
      </w:tr>
    </w:tbl>
    <w:p/>
    <w:p/>
    <w:p/>
    <w:p/>
    <w:p/>
    <w:p/>
    <w:p/>
    <w:p/>
    <w:p/>
    <w:tbl>
      <w:tblPr>
        <w:tblStyle w:val="8"/>
        <w:tblW w:w="507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78"/>
        <w:gridCol w:w="1633"/>
        <w:gridCol w:w="2861"/>
        <w:gridCol w:w="3141"/>
        <w:gridCol w:w="3002"/>
        <w:gridCol w:w="2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04" w:type="pct"/>
            <w:vMerge w:val="restart"/>
            <w:tcBorders>
              <w:top w:val="single" w:color="auto" w:sz="4" w:space="0"/>
              <w:bottom w:val="nil"/>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ind w:left="14" w:leftChars="0"/>
              <w:jc w:val="center"/>
              <w:rPr>
                <w:rFonts w:hint="default" w:eastAsia="宋体"/>
                <w:b/>
                <w:sz w:val="21"/>
                <w:lang w:val="en-US" w:eastAsia="zh-CN"/>
              </w:rPr>
            </w:pPr>
            <w:r>
              <w:rPr>
                <w:rFonts w:hint="eastAsia"/>
                <w:b/>
                <w:sz w:val="21"/>
                <w:lang w:val="en-US" w:eastAsia="zh-CN"/>
              </w:rPr>
              <w:t>49</w:t>
            </w:r>
          </w:p>
        </w:tc>
        <w:tc>
          <w:tcPr>
            <w:tcW w:w="576" w:type="pct"/>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eastAsia="宋体"/>
                <w:b/>
                <w:sz w:val="21"/>
                <w:lang w:eastAsia="zh-CN"/>
              </w:rPr>
            </w:pPr>
            <w:r>
              <w:rPr>
                <w:rFonts w:hint="eastAsia" w:ascii="Microsoft JhengHei"/>
                <w:b/>
                <w:sz w:val="21"/>
                <w:lang w:eastAsia="zh-CN"/>
              </w:rPr>
              <w:t>裁量条款</w:t>
            </w:r>
          </w:p>
        </w:tc>
        <w:tc>
          <w:tcPr>
            <w:tcW w:w="4218" w:type="pct"/>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hint="eastAsia"/>
                <w:b/>
                <w:bCs/>
                <w:sz w:val="21"/>
                <w:lang w:val="en-US" w:eastAsia="zh-CN"/>
              </w:rPr>
            </w:pPr>
            <w:r>
              <w:rPr>
                <w:rFonts w:hint="eastAsia" w:ascii="Microsoft JhengHei"/>
                <w:b/>
                <w:sz w:val="21"/>
                <w:lang w:val="en-US" w:eastAsia="zh-CN"/>
              </w:rPr>
              <w:t>第四十九条  本条是对《麻醉药品和精神药品管理条例》第八十条“处5000元以上1万元以下的罚款”裁量基准的规定。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04"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6" w:type="pct"/>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eastAsia="宋体"/>
                <w:b/>
                <w:sz w:val="21"/>
                <w:lang w:val="en-US" w:eastAsia="zh-CN"/>
              </w:rPr>
            </w:pPr>
            <w:r>
              <w:rPr>
                <w:rFonts w:hint="eastAsia" w:ascii="Microsoft JhengHei"/>
                <w:b/>
                <w:sz w:val="21"/>
                <w:lang w:val="en-US" w:eastAsia="zh-CN"/>
              </w:rPr>
              <w:t>关联法条</w:t>
            </w:r>
          </w:p>
        </w:tc>
        <w:tc>
          <w:tcPr>
            <w:tcW w:w="4218" w:type="pct"/>
            <w:gridSpan w:val="4"/>
            <w:tcBorders>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both"/>
              <w:textAlignment w:val="auto"/>
              <w:rPr>
                <w:rFonts w:hint="eastAsia"/>
                <w:sz w:val="21"/>
              </w:rPr>
            </w:pPr>
            <w:r>
              <w:rPr>
                <w:rFonts w:hint="eastAsia"/>
                <w:sz w:val="21"/>
                <w:lang w:val="en-US" w:eastAsia="zh-CN"/>
              </w:rPr>
              <w:t>《麻醉药品和精神药品管理条例》第八十条 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04"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6"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eastAsia="宋体"/>
                <w:b/>
                <w:sz w:val="21"/>
                <w:lang w:val="en-US" w:eastAsia="zh-CN"/>
              </w:rPr>
            </w:pPr>
            <w:r>
              <w:rPr>
                <w:rFonts w:hint="eastAsia" w:ascii="Microsoft JhengHei" w:eastAsia="宋体"/>
                <w:b/>
                <w:sz w:val="21"/>
                <w:lang w:val="en-US" w:eastAsia="zh-CN"/>
              </w:rPr>
              <w:t>裁量等级</w:t>
            </w:r>
          </w:p>
        </w:tc>
        <w:tc>
          <w:tcPr>
            <w:tcW w:w="1009"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减轻处罚幅度</w:t>
            </w:r>
          </w:p>
        </w:tc>
        <w:tc>
          <w:tcPr>
            <w:tcW w:w="1108"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从轻处罚幅度</w:t>
            </w:r>
          </w:p>
        </w:tc>
        <w:tc>
          <w:tcPr>
            <w:tcW w:w="1059"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一般处罚幅度</w:t>
            </w:r>
          </w:p>
        </w:tc>
        <w:tc>
          <w:tcPr>
            <w:tcW w:w="1041"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04"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6"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eastAsia="宋体"/>
                <w:b/>
                <w:sz w:val="21"/>
                <w:lang w:val="en-US" w:eastAsia="zh-CN"/>
              </w:rPr>
            </w:pPr>
            <w:r>
              <w:rPr>
                <w:rFonts w:hint="eastAsia" w:ascii="Microsoft JhengHei" w:eastAsia="宋体"/>
                <w:b/>
                <w:sz w:val="21"/>
                <w:lang w:val="en-US" w:eastAsia="zh-CN"/>
              </w:rPr>
              <w:t>裁量基准</w:t>
            </w:r>
          </w:p>
        </w:tc>
        <w:tc>
          <w:tcPr>
            <w:tcW w:w="1009"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default"/>
                <w:sz w:val="21"/>
                <w:lang w:val="en-US" w:eastAsia="zh-CN"/>
              </w:rPr>
            </w:pPr>
          </w:p>
        </w:tc>
        <w:tc>
          <w:tcPr>
            <w:tcW w:w="1108"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从轻行政处罚，处0.5万元至0.65万元的罚款。</w:t>
            </w:r>
          </w:p>
        </w:tc>
        <w:tc>
          <w:tcPr>
            <w:tcW w:w="1059"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一般行政处罚，处0.65万元以上0.85万元以下的罚款。</w:t>
            </w:r>
          </w:p>
        </w:tc>
        <w:tc>
          <w:tcPr>
            <w:tcW w:w="1041"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0" w:firstLineChars="0"/>
              <w:jc w:val="both"/>
              <w:textAlignment w:val="auto"/>
              <w:rPr>
                <w:rFonts w:hint="eastAsia"/>
                <w:sz w:val="21"/>
                <w:lang w:val="en-US" w:eastAsia="zh-CN"/>
              </w:rPr>
            </w:pPr>
            <w:r>
              <w:rPr>
                <w:rFonts w:hint="eastAsia"/>
                <w:sz w:val="21"/>
                <w:lang w:val="en-US" w:eastAsia="zh-CN"/>
              </w:rPr>
              <w:t>从重行政处罚，处0.85万元至1万元的罚款。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3" w:hRule="atLeast"/>
        </w:trPr>
        <w:tc>
          <w:tcPr>
            <w:tcW w:w="204"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6" w:type="pct"/>
            <w:tcBorders>
              <w:top w:val="single" w:color="000000" w:sz="8" w:space="0"/>
              <w:left w:val="single" w:color="000000" w:sz="8" w:space="0"/>
              <w:right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2" w:line="240" w:lineRule="exact"/>
              <w:ind w:left="17" w:leftChars="0" w:right="11" w:rightChars="0"/>
              <w:jc w:val="both"/>
              <w:textAlignment w:val="auto"/>
              <w:rPr>
                <w:rFonts w:hint="eastAsia" w:eastAsia="宋体"/>
                <w:lang w:val="en-US" w:eastAsia="zh-CN"/>
              </w:rPr>
            </w:pPr>
            <w:r>
              <w:rPr>
                <w:rFonts w:hint="eastAsia" w:ascii="Microsoft JhengHei" w:eastAsia="Microsoft JhengHei"/>
                <w:b/>
                <w:sz w:val="21"/>
                <w:lang w:val="en-US" w:eastAsia="zh-CN"/>
              </w:rPr>
              <w:t>裁量因素</w:t>
            </w:r>
            <w:r>
              <w:rPr>
                <w:rFonts w:hint="eastAsia" w:ascii="Microsoft JhengHei" w:eastAsia="Microsoft JhengHei"/>
                <w:b w:val="0"/>
                <w:bCs/>
                <w:sz w:val="21"/>
                <w:lang w:val="en-US" w:eastAsia="zh-CN"/>
              </w:rPr>
              <w:t>（是指在进行裁量时，除裁量规则规定的从轻、减轻、从重情形外，可以考虑的因素）</w:t>
            </w:r>
          </w:p>
        </w:tc>
        <w:tc>
          <w:tcPr>
            <w:tcW w:w="4218" w:type="pct"/>
            <w:gridSpan w:val="4"/>
            <w:tcBorders>
              <w:top w:val="single" w:color="000000" w:sz="8" w:space="0"/>
              <w:left w:val="single" w:color="auto" w:sz="4" w:space="0"/>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jc w:val="both"/>
              <w:textAlignment w:val="auto"/>
              <w:rPr>
                <w:rFonts w:hint="eastAsia" w:cs="宋体"/>
                <w:b w:val="0"/>
                <w:bCs w:val="0"/>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从轻处罚考虑因素：</w:t>
            </w:r>
            <w:r>
              <w:rPr>
                <w:rFonts w:hint="eastAsia" w:cs="宋体"/>
                <w:b w:val="0"/>
                <w:bCs w:val="0"/>
                <w:color w:val="000000"/>
                <w:kern w:val="0"/>
                <w:sz w:val="21"/>
                <w:szCs w:val="21"/>
                <w:lang w:val="en-US" w:eastAsia="zh-CN" w:bidi="ar"/>
              </w:rPr>
              <w:t>麻醉药品和精神药品被盗、被抢、丢失的货值金额在1万元以上5万元以下的。</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240" w:lineRule="auto"/>
              <w:jc w:val="both"/>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从重处罚考虑因素：</w:t>
            </w:r>
          </w:p>
          <w:p>
            <w:pPr>
              <w:pStyle w:val="11"/>
              <w:keepNext w:val="0"/>
              <w:keepLines w:val="0"/>
              <w:pageBreakBefore w:val="0"/>
              <w:kinsoku/>
              <w:wordWrap/>
              <w:overflowPunct/>
              <w:topLinePunct w:val="0"/>
              <w:autoSpaceDE w:val="0"/>
              <w:autoSpaceDN w:val="0"/>
              <w:bidi w:val="0"/>
              <w:adjustRightInd/>
              <w:snapToGrid/>
              <w:spacing w:before="2" w:line="240" w:lineRule="auto"/>
              <w:ind w:right="11" w:rightChars="0"/>
              <w:jc w:val="both"/>
              <w:textAlignment w:val="auto"/>
              <w:rPr>
                <w:rFonts w:hint="eastAsia" w:cs="宋体"/>
                <w:b w:val="0"/>
                <w:bCs w:val="0"/>
                <w:color w:val="000000"/>
                <w:kern w:val="0"/>
                <w:sz w:val="21"/>
                <w:szCs w:val="21"/>
                <w:lang w:val="en-US" w:eastAsia="zh-CN" w:bidi="ar"/>
              </w:rPr>
            </w:pPr>
            <w:r>
              <w:rPr>
                <w:rFonts w:hint="eastAsia" w:cs="宋体"/>
                <w:b w:val="0"/>
                <w:bCs w:val="0"/>
                <w:color w:val="000000"/>
                <w:kern w:val="0"/>
                <w:sz w:val="21"/>
                <w:szCs w:val="21"/>
                <w:lang w:val="en-US" w:eastAsia="zh-CN" w:bidi="ar"/>
              </w:rPr>
              <w:t>（一）麻醉药品和精神药品被盗、被抢、丢失的货值金额在5万元以上的；</w:t>
            </w:r>
          </w:p>
          <w:p>
            <w:pPr>
              <w:pStyle w:val="11"/>
              <w:keepNext w:val="0"/>
              <w:keepLines w:val="0"/>
              <w:pageBreakBefore w:val="0"/>
              <w:kinsoku/>
              <w:wordWrap/>
              <w:overflowPunct/>
              <w:topLinePunct w:val="0"/>
              <w:autoSpaceDE w:val="0"/>
              <w:autoSpaceDN w:val="0"/>
              <w:bidi w:val="0"/>
              <w:adjustRightInd/>
              <w:snapToGrid/>
              <w:spacing w:before="2" w:line="240" w:lineRule="auto"/>
              <w:ind w:right="11" w:rightChars="0"/>
              <w:jc w:val="both"/>
              <w:textAlignment w:val="auto"/>
              <w:rPr>
                <w:rFonts w:hint="eastAsia" w:eastAsia="宋体"/>
                <w:sz w:val="21"/>
                <w:lang w:val="en-US" w:eastAsia="zh-CN"/>
              </w:rPr>
            </w:pPr>
            <w:r>
              <w:rPr>
                <w:rFonts w:hint="eastAsia" w:cs="宋体"/>
                <w:b w:val="0"/>
                <w:bCs w:val="0"/>
                <w:color w:val="000000"/>
                <w:kern w:val="0"/>
                <w:sz w:val="21"/>
                <w:szCs w:val="21"/>
                <w:lang w:val="en-US" w:eastAsia="zh-CN" w:bidi="ar"/>
              </w:rPr>
              <w:t>（二）再次出现麻醉药品和精神药品被盗、被抢或者丢失的。</w:t>
            </w:r>
          </w:p>
        </w:tc>
      </w:tr>
    </w:tbl>
    <w:p/>
    <w:p/>
    <w:p/>
    <w:p/>
    <w:p/>
    <w:p/>
    <w:p/>
    <w:tbl>
      <w:tblPr>
        <w:tblStyle w:val="8"/>
        <w:tblW w:w="508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76"/>
        <w:gridCol w:w="1635"/>
        <w:gridCol w:w="2864"/>
        <w:gridCol w:w="3145"/>
        <w:gridCol w:w="3006"/>
        <w:gridCol w:w="29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03" w:type="pct"/>
            <w:vMerge w:val="restart"/>
            <w:tcBorders>
              <w:top w:val="single" w:color="auto" w:sz="4" w:space="0"/>
              <w:bottom w:val="nil"/>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ind w:left="14" w:leftChars="0"/>
              <w:jc w:val="center"/>
              <w:rPr>
                <w:rFonts w:hint="default" w:eastAsia="宋体"/>
                <w:b/>
                <w:sz w:val="21"/>
                <w:lang w:val="en-US" w:eastAsia="zh-CN"/>
              </w:rPr>
            </w:pPr>
            <w:r>
              <w:rPr>
                <w:rFonts w:hint="eastAsia"/>
                <w:b/>
                <w:sz w:val="21"/>
                <w:lang w:val="en-US" w:eastAsia="zh-CN"/>
              </w:rPr>
              <w:t>50</w:t>
            </w:r>
          </w:p>
        </w:tc>
        <w:tc>
          <w:tcPr>
            <w:tcW w:w="576" w:type="pct"/>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eastAsia="宋体"/>
                <w:b/>
                <w:sz w:val="21"/>
                <w:lang w:eastAsia="zh-CN"/>
              </w:rPr>
            </w:pPr>
            <w:r>
              <w:rPr>
                <w:rFonts w:hint="eastAsia" w:ascii="Microsoft JhengHei"/>
                <w:b/>
                <w:sz w:val="21"/>
                <w:lang w:eastAsia="zh-CN"/>
              </w:rPr>
              <w:t>裁量条款</w:t>
            </w:r>
          </w:p>
        </w:tc>
        <w:tc>
          <w:tcPr>
            <w:tcW w:w="4220" w:type="pct"/>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ascii="Microsoft JhengHei"/>
                <w:b/>
                <w:sz w:val="21"/>
                <w:lang w:val="en-US"/>
              </w:rPr>
            </w:pPr>
            <w:r>
              <w:rPr>
                <w:rFonts w:hint="eastAsia" w:ascii="Microsoft JhengHei"/>
                <w:b/>
                <w:sz w:val="21"/>
                <w:lang w:val="en-US" w:eastAsia="zh-CN"/>
              </w:rPr>
              <w:t>第五十条  本条是对《麻醉药品和精神药品管理条例》第八十一条“处违法所得2倍以上5倍以下的罚款”。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03"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6" w:type="pct"/>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eastAsia="宋体"/>
                <w:b/>
                <w:sz w:val="21"/>
                <w:lang w:val="en-US" w:eastAsia="zh-CN"/>
              </w:rPr>
            </w:pPr>
            <w:r>
              <w:rPr>
                <w:rFonts w:hint="eastAsia" w:ascii="Microsoft JhengHei"/>
                <w:b/>
                <w:sz w:val="21"/>
                <w:lang w:val="en-US" w:eastAsia="zh-CN"/>
              </w:rPr>
              <w:t>关联法条</w:t>
            </w:r>
          </w:p>
        </w:tc>
        <w:tc>
          <w:tcPr>
            <w:tcW w:w="4220" w:type="pct"/>
            <w:gridSpan w:val="4"/>
            <w:tcBorders>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firstLine="420" w:firstLineChars="200"/>
              <w:jc w:val="both"/>
              <w:textAlignment w:val="auto"/>
              <w:rPr>
                <w:rFonts w:hint="eastAsia"/>
                <w:sz w:val="21"/>
              </w:rPr>
            </w:pPr>
            <w:r>
              <w:rPr>
                <w:rFonts w:hint="eastAsia"/>
                <w:sz w:val="21"/>
                <w:lang w:val="en-US" w:eastAsia="zh-CN"/>
              </w:rPr>
              <w:t>《麻醉药品和精神药品管理条例》第八十一条 依法取得麻醉药品药用原植物种植或者麻醉药品和精神药品实验研究、生产、经营、使用、运输等资格的单位，倒卖、转让、出租、出借、涂改其麻醉药品和精神药品许可证明文件的，由原审批部门吊销相应许可证明文件，没收违法所得；情节严重的，处违法所得2倍以上5倍以下的罚款；没有违法所得的，处2万元以上5万元以下的罚款；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03"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6"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eastAsia="宋体"/>
                <w:b/>
                <w:sz w:val="21"/>
                <w:lang w:val="en-US" w:eastAsia="zh-CN"/>
              </w:rPr>
            </w:pPr>
            <w:r>
              <w:rPr>
                <w:rFonts w:hint="eastAsia" w:ascii="Microsoft JhengHei" w:eastAsia="宋体"/>
                <w:b/>
                <w:sz w:val="21"/>
                <w:lang w:val="en-US" w:eastAsia="zh-CN"/>
              </w:rPr>
              <w:t>裁量等级</w:t>
            </w:r>
          </w:p>
        </w:tc>
        <w:tc>
          <w:tcPr>
            <w:tcW w:w="1009"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减轻处罚幅度</w:t>
            </w:r>
          </w:p>
        </w:tc>
        <w:tc>
          <w:tcPr>
            <w:tcW w:w="1108"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从轻处罚幅度</w:t>
            </w:r>
          </w:p>
        </w:tc>
        <w:tc>
          <w:tcPr>
            <w:tcW w:w="1059"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一般处罚幅度</w:t>
            </w:r>
          </w:p>
        </w:tc>
        <w:tc>
          <w:tcPr>
            <w:tcW w:w="1043"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rPr>
                <w:rFonts w:hint="eastAsia" w:ascii="Microsoft JhengHei"/>
                <w:b/>
                <w:sz w:val="21"/>
                <w:lang w:val="en-US" w:eastAsia="zh-CN"/>
              </w:rPr>
            </w:pPr>
            <w:r>
              <w:rPr>
                <w:rFonts w:hint="eastAsia" w:ascii="Microsoft JhengHei"/>
                <w:b/>
                <w:sz w:val="21"/>
                <w:lang w:val="en-US"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203"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6"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eastAsia="宋体"/>
                <w:b/>
                <w:sz w:val="21"/>
                <w:lang w:val="en-US" w:eastAsia="zh-CN"/>
              </w:rPr>
            </w:pPr>
            <w:r>
              <w:rPr>
                <w:rFonts w:hint="eastAsia" w:ascii="Microsoft JhengHei" w:eastAsia="宋体"/>
                <w:b/>
                <w:sz w:val="21"/>
                <w:lang w:val="en-US" w:eastAsia="zh-CN"/>
              </w:rPr>
              <w:t>裁量基准</w:t>
            </w:r>
          </w:p>
        </w:tc>
        <w:tc>
          <w:tcPr>
            <w:tcW w:w="1009"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left="0" w:right="0"/>
              <w:jc w:val="both"/>
              <w:textAlignment w:val="auto"/>
              <w:rPr>
                <w:rFonts w:hint="default"/>
                <w:sz w:val="21"/>
                <w:lang w:val="en-US" w:eastAsia="zh-CN"/>
              </w:rPr>
            </w:pPr>
          </w:p>
        </w:tc>
        <w:tc>
          <w:tcPr>
            <w:tcW w:w="1108"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left="0" w:right="0"/>
              <w:jc w:val="both"/>
              <w:textAlignment w:val="auto"/>
              <w:rPr>
                <w:rFonts w:hint="default"/>
                <w:sz w:val="21"/>
                <w:lang w:val="en-US" w:eastAsia="zh-CN"/>
              </w:rPr>
            </w:pPr>
            <w:r>
              <w:rPr>
                <w:rFonts w:hint="eastAsia"/>
                <w:sz w:val="21"/>
                <w:lang w:val="en-US" w:eastAsia="zh-CN"/>
              </w:rPr>
              <w:t>从轻行政处罚，处违法所得2倍至2.9倍的罚款。</w:t>
            </w:r>
          </w:p>
        </w:tc>
        <w:tc>
          <w:tcPr>
            <w:tcW w:w="1059"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left="0" w:right="0"/>
              <w:jc w:val="both"/>
              <w:textAlignment w:val="auto"/>
              <w:rPr>
                <w:rFonts w:hint="eastAsia"/>
                <w:sz w:val="21"/>
                <w:lang w:val="en-US" w:eastAsia="zh-CN"/>
              </w:rPr>
            </w:pPr>
            <w:r>
              <w:rPr>
                <w:rFonts w:hint="eastAsia"/>
                <w:sz w:val="21"/>
                <w:lang w:val="en-US" w:eastAsia="zh-CN"/>
              </w:rPr>
              <w:t>一般行政处罚，处违法所得2.9倍以上4.1倍以下的罚款。</w:t>
            </w:r>
          </w:p>
        </w:tc>
        <w:tc>
          <w:tcPr>
            <w:tcW w:w="1043"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left="0" w:right="0"/>
              <w:jc w:val="both"/>
              <w:textAlignment w:val="auto"/>
              <w:rPr>
                <w:rFonts w:hint="eastAsia"/>
                <w:sz w:val="21"/>
                <w:lang w:val="en-US" w:eastAsia="zh-CN"/>
              </w:rPr>
            </w:pPr>
            <w:r>
              <w:rPr>
                <w:rFonts w:hint="eastAsia"/>
                <w:sz w:val="21"/>
                <w:lang w:val="en-US" w:eastAsia="zh-CN"/>
              </w:rPr>
              <w:t>从重行政处罚，处违法所得4.1倍至5倍的罚款。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8" w:hRule="atLeast"/>
        </w:trPr>
        <w:tc>
          <w:tcPr>
            <w:tcW w:w="203"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6" w:type="pct"/>
            <w:tcBorders>
              <w:top w:val="single" w:color="000000" w:sz="8" w:space="0"/>
              <w:left w:val="single" w:color="000000" w:sz="8" w:space="0"/>
              <w:right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2" w:line="240" w:lineRule="exact"/>
              <w:ind w:left="17" w:leftChars="0" w:right="11" w:rightChars="0"/>
              <w:jc w:val="both"/>
              <w:textAlignment w:val="auto"/>
              <w:rPr>
                <w:rFonts w:hint="eastAsia" w:eastAsia="宋体"/>
                <w:lang w:val="en-US" w:eastAsia="zh-CN"/>
              </w:rPr>
            </w:pPr>
            <w:r>
              <w:rPr>
                <w:rFonts w:hint="eastAsia" w:ascii="Microsoft JhengHei" w:eastAsia="Microsoft JhengHei"/>
                <w:b/>
                <w:sz w:val="21"/>
                <w:lang w:val="en-US" w:eastAsia="zh-CN"/>
              </w:rPr>
              <w:t>裁量因素</w:t>
            </w:r>
            <w:r>
              <w:rPr>
                <w:rFonts w:hint="eastAsia" w:ascii="Microsoft JhengHei" w:eastAsia="Microsoft JhengHei"/>
                <w:b w:val="0"/>
                <w:bCs/>
                <w:sz w:val="21"/>
                <w:lang w:val="en-US" w:eastAsia="zh-CN"/>
              </w:rPr>
              <w:t>（是指在进行裁量时，除裁量规则规定的从轻、减轻、从重情形外，可以考虑的因素）</w:t>
            </w:r>
          </w:p>
        </w:tc>
        <w:tc>
          <w:tcPr>
            <w:tcW w:w="4220" w:type="pct"/>
            <w:gridSpan w:val="4"/>
            <w:tcBorders>
              <w:top w:val="single" w:color="000000" w:sz="8" w:space="0"/>
              <w:left w:val="single" w:color="auto" w:sz="4" w:space="0"/>
              <w:bottom w:val="single" w:color="auto" w:sz="4" w:space="0"/>
              <w:right w:val="single" w:color="000000" w:sz="8" w:space="0"/>
            </w:tcBorders>
            <w:noWrap w:val="0"/>
            <w:vAlign w:val="center"/>
          </w:tcPr>
          <w:p>
            <w:pPr>
              <w:pStyle w:val="11"/>
              <w:keepNext w:val="0"/>
              <w:keepLines w:val="0"/>
              <w:pageBreakBefore w:val="0"/>
              <w:kinsoku/>
              <w:wordWrap/>
              <w:overflowPunct/>
              <w:topLinePunct w:val="0"/>
              <w:autoSpaceDE w:val="0"/>
              <w:autoSpaceDN w:val="0"/>
              <w:bidi w:val="0"/>
              <w:adjustRightInd/>
              <w:snapToGrid/>
              <w:spacing w:before="2" w:line="240" w:lineRule="auto"/>
              <w:ind w:right="11" w:rightChars="0"/>
              <w:jc w:val="both"/>
              <w:textAlignment w:val="auto"/>
              <w:rPr>
                <w:rFonts w:hint="eastAsia" w:cs="宋体"/>
                <w:b/>
                <w:bCs/>
                <w:color w:val="000000"/>
                <w:kern w:val="0"/>
                <w:sz w:val="21"/>
                <w:szCs w:val="21"/>
                <w:lang w:val="en-US" w:eastAsia="zh-CN" w:bidi="ar"/>
              </w:rPr>
            </w:pPr>
            <w:r>
              <w:rPr>
                <w:rFonts w:hint="eastAsia" w:cs="宋体"/>
                <w:b/>
                <w:bCs/>
                <w:color w:val="000000"/>
                <w:kern w:val="0"/>
                <w:sz w:val="21"/>
                <w:szCs w:val="21"/>
                <w:lang w:val="en-US" w:eastAsia="zh-CN" w:bidi="ar"/>
              </w:rPr>
              <w:t>从轻处罚考虑因素：</w:t>
            </w:r>
          </w:p>
          <w:p>
            <w:pPr>
              <w:pStyle w:val="11"/>
              <w:keepNext w:val="0"/>
              <w:keepLines w:val="0"/>
              <w:pageBreakBefore w:val="0"/>
              <w:kinsoku/>
              <w:wordWrap/>
              <w:overflowPunct/>
              <w:topLinePunct w:val="0"/>
              <w:autoSpaceDE w:val="0"/>
              <w:autoSpaceDN w:val="0"/>
              <w:bidi w:val="0"/>
              <w:adjustRightInd/>
              <w:snapToGrid/>
              <w:spacing w:before="2" w:line="240" w:lineRule="auto"/>
              <w:ind w:right="11" w:rightChars="0"/>
              <w:jc w:val="both"/>
              <w:textAlignment w:val="auto"/>
              <w:rPr>
                <w:rFonts w:hint="eastAsia" w:cs="宋体"/>
                <w:b w:val="0"/>
                <w:bCs w:val="0"/>
                <w:color w:val="000000"/>
                <w:kern w:val="0"/>
                <w:sz w:val="21"/>
                <w:szCs w:val="21"/>
                <w:lang w:val="en-US" w:eastAsia="zh-CN" w:bidi="ar"/>
              </w:rPr>
            </w:pPr>
            <w:r>
              <w:rPr>
                <w:rFonts w:hint="eastAsia" w:cs="宋体"/>
                <w:b w:val="0"/>
                <w:bCs w:val="0"/>
                <w:color w:val="000000"/>
                <w:kern w:val="0"/>
                <w:sz w:val="21"/>
                <w:szCs w:val="21"/>
                <w:lang w:val="en-US" w:eastAsia="zh-CN" w:bidi="ar"/>
              </w:rPr>
              <w:t>（一）倒卖、转让、出租或者出借许可证明文件2次以上5次以下的；</w:t>
            </w:r>
          </w:p>
          <w:p>
            <w:pPr>
              <w:pStyle w:val="11"/>
              <w:keepNext w:val="0"/>
              <w:keepLines w:val="0"/>
              <w:pageBreakBefore w:val="0"/>
              <w:kinsoku/>
              <w:wordWrap/>
              <w:overflowPunct/>
              <w:topLinePunct w:val="0"/>
              <w:autoSpaceDE w:val="0"/>
              <w:autoSpaceDN w:val="0"/>
              <w:bidi w:val="0"/>
              <w:adjustRightInd/>
              <w:snapToGrid/>
              <w:spacing w:before="2" w:line="240" w:lineRule="auto"/>
              <w:ind w:right="11" w:rightChars="0"/>
              <w:jc w:val="both"/>
              <w:textAlignment w:val="auto"/>
              <w:rPr>
                <w:rFonts w:hint="eastAsia" w:cs="宋体"/>
                <w:b w:val="0"/>
                <w:bCs w:val="0"/>
                <w:color w:val="000000"/>
                <w:kern w:val="0"/>
                <w:sz w:val="21"/>
                <w:szCs w:val="21"/>
                <w:lang w:val="en-US" w:eastAsia="zh-CN" w:bidi="ar"/>
              </w:rPr>
            </w:pPr>
            <w:r>
              <w:rPr>
                <w:rFonts w:hint="eastAsia" w:cs="宋体"/>
                <w:b w:val="0"/>
                <w:bCs w:val="0"/>
                <w:color w:val="000000"/>
                <w:kern w:val="0"/>
                <w:sz w:val="21"/>
                <w:szCs w:val="21"/>
                <w:lang w:val="en-US" w:eastAsia="zh-CN" w:bidi="ar"/>
              </w:rPr>
              <w:t>（二）违法所得在5万元以上10万元以下的；</w:t>
            </w:r>
          </w:p>
          <w:p>
            <w:pPr>
              <w:pStyle w:val="11"/>
              <w:keepNext w:val="0"/>
              <w:keepLines w:val="0"/>
              <w:pageBreakBefore w:val="0"/>
              <w:kinsoku/>
              <w:wordWrap/>
              <w:overflowPunct/>
              <w:topLinePunct w:val="0"/>
              <w:autoSpaceDE w:val="0"/>
              <w:autoSpaceDN w:val="0"/>
              <w:bidi w:val="0"/>
              <w:adjustRightInd/>
              <w:snapToGrid/>
              <w:spacing w:before="2" w:line="240" w:lineRule="auto"/>
              <w:ind w:right="11" w:rightChars="0"/>
              <w:jc w:val="both"/>
              <w:textAlignment w:val="auto"/>
              <w:rPr>
                <w:rFonts w:hint="default" w:cs="宋体"/>
                <w:b w:val="0"/>
                <w:bCs w:val="0"/>
                <w:color w:val="000000"/>
                <w:kern w:val="0"/>
                <w:sz w:val="21"/>
                <w:szCs w:val="21"/>
                <w:lang w:val="en-US" w:eastAsia="zh-CN" w:bidi="ar"/>
              </w:rPr>
            </w:pPr>
            <w:r>
              <w:rPr>
                <w:rFonts w:hint="eastAsia" w:cs="宋体"/>
                <w:b w:val="0"/>
                <w:bCs w:val="0"/>
                <w:color w:val="000000"/>
                <w:kern w:val="0"/>
                <w:sz w:val="21"/>
                <w:szCs w:val="21"/>
                <w:lang w:val="en-US" w:eastAsia="zh-CN" w:bidi="ar"/>
              </w:rPr>
              <w:t>（三）</w:t>
            </w:r>
            <w:r>
              <w:rPr>
                <w:rFonts w:hint="default" w:cs="宋体"/>
                <w:b w:val="0"/>
                <w:bCs w:val="0"/>
                <w:color w:val="000000"/>
                <w:kern w:val="0"/>
                <w:sz w:val="21"/>
                <w:szCs w:val="21"/>
                <w:lang w:val="en-US" w:eastAsia="zh-CN" w:bidi="ar"/>
              </w:rPr>
              <w:t>涂改许可证明文件的</w:t>
            </w:r>
            <w:r>
              <w:rPr>
                <w:rFonts w:hint="eastAsia" w:cs="宋体"/>
                <w:b w:val="0"/>
                <w:bCs w:val="0"/>
                <w:color w:val="000000"/>
                <w:kern w:val="0"/>
                <w:sz w:val="21"/>
                <w:szCs w:val="21"/>
                <w:lang w:val="en-US" w:eastAsia="zh-CN" w:bidi="ar"/>
              </w:rPr>
              <w:t>。</w:t>
            </w:r>
          </w:p>
          <w:p>
            <w:pPr>
              <w:pStyle w:val="11"/>
              <w:keepNext w:val="0"/>
              <w:keepLines w:val="0"/>
              <w:pageBreakBefore w:val="0"/>
              <w:kinsoku/>
              <w:wordWrap/>
              <w:overflowPunct/>
              <w:topLinePunct w:val="0"/>
              <w:autoSpaceDE w:val="0"/>
              <w:autoSpaceDN w:val="0"/>
              <w:bidi w:val="0"/>
              <w:adjustRightInd/>
              <w:snapToGrid/>
              <w:spacing w:before="2" w:line="240" w:lineRule="auto"/>
              <w:ind w:right="11" w:rightChars="0"/>
              <w:jc w:val="both"/>
              <w:textAlignment w:val="auto"/>
              <w:rPr>
                <w:rFonts w:hint="eastAsia" w:cs="宋体"/>
                <w:b/>
                <w:bCs/>
                <w:color w:val="000000"/>
                <w:kern w:val="0"/>
                <w:sz w:val="21"/>
                <w:szCs w:val="21"/>
                <w:lang w:val="en-US" w:eastAsia="zh-CN" w:bidi="ar"/>
              </w:rPr>
            </w:pPr>
            <w:r>
              <w:rPr>
                <w:rFonts w:hint="eastAsia" w:cs="宋体"/>
                <w:b/>
                <w:bCs/>
                <w:color w:val="000000"/>
                <w:kern w:val="0"/>
                <w:sz w:val="21"/>
                <w:szCs w:val="21"/>
                <w:lang w:val="en-US" w:eastAsia="zh-CN" w:bidi="ar"/>
              </w:rPr>
              <w:t>从重处罚考虑因素：</w:t>
            </w:r>
          </w:p>
          <w:p>
            <w:pPr>
              <w:pStyle w:val="11"/>
              <w:keepNext w:val="0"/>
              <w:keepLines w:val="0"/>
              <w:pageBreakBefore w:val="0"/>
              <w:kinsoku/>
              <w:wordWrap/>
              <w:overflowPunct/>
              <w:topLinePunct w:val="0"/>
              <w:autoSpaceDE w:val="0"/>
              <w:autoSpaceDN w:val="0"/>
              <w:bidi w:val="0"/>
              <w:adjustRightInd/>
              <w:snapToGrid/>
              <w:spacing w:before="2" w:line="240" w:lineRule="auto"/>
              <w:ind w:right="11" w:rightChars="0"/>
              <w:jc w:val="both"/>
              <w:textAlignment w:val="auto"/>
              <w:rPr>
                <w:rFonts w:hint="eastAsia" w:cs="宋体"/>
                <w:b w:val="0"/>
                <w:bCs w:val="0"/>
                <w:color w:val="000000"/>
                <w:kern w:val="0"/>
                <w:sz w:val="21"/>
                <w:szCs w:val="21"/>
                <w:lang w:val="en-US" w:eastAsia="zh-CN" w:bidi="ar"/>
              </w:rPr>
            </w:pPr>
            <w:r>
              <w:rPr>
                <w:rFonts w:hint="eastAsia" w:cs="宋体"/>
                <w:b w:val="0"/>
                <w:bCs w:val="0"/>
                <w:color w:val="000000"/>
                <w:kern w:val="0"/>
                <w:sz w:val="21"/>
                <w:szCs w:val="21"/>
                <w:lang w:val="en-US" w:eastAsia="zh-CN" w:bidi="ar"/>
              </w:rPr>
              <w:t>（一）倒卖、转让、出租或者出借许可证明文件5次以上的；</w:t>
            </w:r>
          </w:p>
          <w:p>
            <w:pPr>
              <w:pStyle w:val="11"/>
              <w:keepNext w:val="0"/>
              <w:keepLines w:val="0"/>
              <w:pageBreakBefore w:val="0"/>
              <w:kinsoku/>
              <w:wordWrap/>
              <w:overflowPunct/>
              <w:topLinePunct w:val="0"/>
              <w:autoSpaceDE w:val="0"/>
              <w:autoSpaceDN w:val="0"/>
              <w:bidi w:val="0"/>
              <w:adjustRightInd/>
              <w:snapToGrid/>
              <w:spacing w:before="2" w:line="240" w:lineRule="auto"/>
              <w:ind w:right="11" w:rightChars="0"/>
              <w:jc w:val="both"/>
              <w:textAlignment w:val="auto"/>
              <w:rPr>
                <w:rFonts w:hint="eastAsia" w:cs="宋体"/>
                <w:b w:val="0"/>
                <w:bCs w:val="0"/>
                <w:color w:val="000000"/>
                <w:kern w:val="0"/>
                <w:sz w:val="21"/>
                <w:szCs w:val="21"/>
                <w:lang w:val="en-US" w:eastAsia="zh-CN" w:bidi="ar"/>
              </w:rPr>
            </w:pPr>
            <w:r>
              <w:rPr>
                <w:rFonts w:hint="eastAsia" w:cs="宋体"/>
                <w:b w:val="0"/>
                <w:bCs w:val="0"/>
                <w:color w:val="000000"/>
                <w:kern w:val="0"/>
                <w:sz w:val="21"/>
                <w:szCs w:val="21"/>
                <w:lang w:val="en-US" w:eastAsia="zh-CN" w:bidi="ar"/>
              </w:rPr>
              <w:t>（二）违法所得在10万元以上；</w:t>
            </w:r>
          </w:p>
          <w:p>
            <w:pPr>
              <w:pStyle w:val="11"/>
              <w:keepNext w:val="0"/>
              <w:keepLines w:val="0"/>
              <w:pageBreakBefore w:val="0"/>
              <w:kinsoku/>
              <w:wordWrap/>
              <w:overflowPunct/>
              <w:topLinePunct w:val="0"/>
              <w:autoSpaceDE w:val="0"/>
              <w:autoSpaceDN w:val="0"/>
              <w:bidi w:val="0"/>
              <w:adjustRightInd/>
              <w:snapToGrid/>
              <w:spacing w:before="2" w:line="240" w:lineRule="auto"/>
              <w:ind w:right="11" w:rightChars="0"/>
              <w:jc w:val="both"/>
              <w:textAlignment w:val="auto"/>
              <w:rPr>
                <w:rFonts w:hint="eastAsia" w:eastAsia="宋体"/>
                <w:sz w:val="21"/>
                <w:lang w:val="en-US" w:eastAsia="zh-CN"/>
              </w:rPr>
            </w:pPr>
            <w:r>
              <w:rPr>
                <w:rFonts w:hint="eastAsia" w:cs="宋体"/>
                <w:b w:val="0"/>
                <w:bCs w:val="0"/>
                <w:color w:val="000000"/>
                <w:kern w:val="0"/>
                <w:sz w:val="21"/>
                <w:szCs w:val="21"/>
                <w:lang w:val="en-US" w:eastAsia="zh-CN" w:bidi="ar"/>
              </w:rPr>
              <w:t>（三）造成麻醉药品或者精神药品流弊的。</w:t>
            </w:r>
          </w:p>
        </w:tc>
      </w:tr>
    </w:tbl>
    <w:p/>
    <w:p/>
    <w:p/>
    <w:p/>
    <w:tbl>
      <w:tblPr>
        <w:tblStyle w:val="8"/>
        <w:tblW w:w="508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69"/>
        <w:gridCol w:w="1638"/>
        <w:gridCol w:w="2870"/>
        <w:gridCol w:w="3152"/>
        <w:gridCol w:w="3012"/>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00" w:type="pct"/>
            <w:vMerge w:val="restart"/>
            <w:tcBorders>
              <w:top w:val="single" w:color="auto" w:sz="4" w:space="0"/>
              <w:bottom w:val="nil"/>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ind w:left="14" w:leftChars="0"/>
              <w:jc w:val="center"/>
              <w:rPr>
                <w:rFonts w:hint="default" w:eastAsia="宋体"/>
                <w:b/>
                <w:sz w:val="21"/>
                <w:lang w:val="en-US" w:eastAsia="zh-CN"/>
              </w:rPr>
            </w:pPr>
            <w:r>
              <w:rPr>
                <w:rFonts w:hint="eastAsia"/>
                <w:b/>
                <w:sz w:val="21"/>
                <w:lang w:val="en-US" w:eastAsia="zh-CN"/>
              </w:rPr>
              <w:t>51</w:t>
            </w:r>
          </w:p>
        </w:tc>
        <w:tc>
          <w:tcPr>
            <w:tcW w:w="576" w:type="pct"/>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eastAsia="宋体"/>
                <w:b/>
                <w:sz w:val="21"/>
                <w:lang w:eastAsia="zh-CN"/>
              </w:rPr>
            </w:pPr>
            <w:r>
              <w:rPr>
                <w:rFonts w:hint="eastAsia" w:ascii="Microsoft JhengHei"/>
                <w:b/>
                <w:sz w:val="21"/>
                <w:lang w:eastAsia="zh-CN"/>
              </w:rPr>
              <w:t>裁量条款</w:t>
            </w:r>
          </w:p>
        </w:tc>
        <w:tc>
          <w:tcPr>
            <w:tcW w:w="4222" w:type="pct"/>
            <w:gridSpan w:val="4"/>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421" w:firstLineChars="200"/>
              <w:jc w:val="both"/>
              <w:textAlignment w:val="auto"/>
              <w:rPr>
                <w:rFonts w:ascii="Microsoft JhengHei"/>
                <w:b/>
                <w:sz w:val="21"/>
                <w:lang w:val="en-US"/>
              </w:rPr>
            </w:pPr>
            <w:r>
              <w:rPr>
                <w:rFonts w:hint="eastAsia" w:ascii="Microsoft JhengHei"/>
                <w:b/>
                <w:sz w:val="21"/>
                <w:lang w:val="en-US" w:eastAsia="zh-CN"/>
              </w:rPr>
              <w:t>第五十一条  本条是对《麻醉药品和精神药品管理条例》第八十一条“处2万元以上5万元以下的罚款”裁量基准的规定。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00"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6" w:type="pct"/>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eastAsia="宋体"/>
                <w:b/>
                <w:sz w:val="21"/>
                <w:lang w:val="en-US" w:eastAsia="zh-CN"/>
              </w:rPr>
            </w:pPr>
            <w:r>
              <w:rPr>
                <w:rFonts w:hint="eastAsia" w:ascii="Microsoft JhengHei"/>
                <w:b/>
                <w:sz w:val="21"/>
                <w:lang w:val="en-US" w:eastAsia="zh-CN"/>
              </w:rPr>
              <w:t>关联法条</w:t>
            </w:r>
          </w:p>
        </w:tc>
        <w:tc>
          <w:tcPr>
            <w:tcW w:w="4222" w:type="pct"/>
            <w:gridSpan w:val="4"/>
            <w:tcBorders>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right="0" w:firstLine="420" w:firstLineChars="200"/>
              <w:jc w:val="center"/>
              <w:textAlignment w:val="auto"/>
              <w:rPr>
                <w:rFonts w:hint="eastAsia"/>
                <w:sz w:val="21"/>
              </w:rPr>
            </w:pPr>
            <w:r>
              <w:rPr>
                <w:rFonts w:hint="eastAsia"/>
                <w:sz w:val="21"/>
                <w:lang w:val="en-US" w:eastAsia="zh-CN"/>
              </w:rPr>
              <w:t xml:space="preserve">《麻醉药品和精神药品管理条例》第八十一条 </w:t>
            </w:r>
            <w:r>
              <w:rPr>
                <w:rFonts w:hint="eastAsia"/>
                <w:sz w:val="21"/>
                <w:lang w:val="en-US"/>
              </w:rPr>
              <w:t>（详见本基准第</w:t>
            </w:r>
            <w:r>
              <w:rPr>
                <w:rFonts w:hint="eastAsia"/>
                <w:sz w:val="21"/>
                <w:lang w:val="en-US" w:eastAsia="zh-CN"/>
              </w:rPr>
              <w:t>四</w:t>
            </w:r>
            <w:r>
              <w:rPr>
                <w:rFonts w:hint="eastAsia"/>
                <w:sz w:val="21"/>
                <w:lang w:val="en-US"/>
              </w:rPr>
              <w:t>十</w:t>
            </w:r>
            <w:r>
              <w:rPr>
                <w:rFonts w:hint="eastAsia"/>
                <w:sz w:val="21"/>
                <w:lang w:val="en-US" w:eastAsia="zh-CN"/>
              </w:rPr>
              <w:t>八</w:t>
            </w:r>
            <w:r>
              <w:rPr>
                <w:rFonts w:hint="eastAsia"/>
                <w:sz w:val="21"/>
                <w:lang w:val="en-US"/>
              </w:rPr>
              <w:t>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00"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6"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eastAsia="宋体"/>
                <w:b/>
                <w:sz w:val="21"/>
                <w:lang w:val="en-US" w:eastAsia="zh-CN"/>
              </w:rPr>
            </w:pPr>
            <w:r>
              <w:rPr>
                <w:rFonts w:hint="eastAsia" w:ascii="Microsoft JhengHei" w:eastAsia="宋体"/>
                <w:b/>
                <w:sz w:val="21"/>
                <w:lang w:val="en-US" w:eastAsia="zh-CN"/>
              </w:rPr>
              <w:t>裁量等级</w:t>
            </w:r>
          </w:p>
        </w:tc>
        <w:tc>
          <w:tcPr>
            <w:tcW w:w="1009"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kinsoku/>
              <w:wordWrap/>
              <w:overflowPunct/>
              <w:topLinePunct w:val="0"/>
              <w:autoSpaceDE/>
              <w:autoSpaceDN/>
              <w:bidi w:val="0"/>
              <w:adjustRightInd/>
              <w:snapToGrid/>
              <w:spacing w:before="157" w:beforeLines="50" w:after="157" w:afterLines="50" w:line="240" w:lineRule="auto"/>
              <w:ind w:left="0" w:right="0"/>
              <w:jc w:val="center"/>
              <w:textAlignment w:val="auto"/>
              <w:rPr>
                <w:rFonts w:hint="eastAsia" w:ascii="Microsoft JhengHei"/>
                <w:b/>
                <w:sz w:val="21"/>
                <w:lang w:eastAsia="zh-CN"/>
              </w:rPr>
            </w:pPr>
            <w:r>
              <w:rPr>
                <w:rFonts w:hint="eastAsia" w:ascii="Microsoft JhengHei"/>
                <w:b/>
                <w:sz w:val="21"/>
                <w:lang w:eastAsia="zh-CN"/>
              </w:rPr>
              <w:t>减轻处罚幅度</w:t>
            </w:r>
          </w:p>
        </w:tc>
        <w:tc>
          <w:tcPr>
            <w:tcW w:w="1108"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kinsoku/>
              <w:wordWrap/>
              <w:overflowPunct/>
              <w:topLinePunct w:val="0"/>
              <w:autoSpaceDE/>
              <w:autoSpaceDN/>
              <w:bidi w:val="0"/>
              <w:adjustRightInd/>
              <w:snapToGrid/>
              <w:spacing w:before="157" w:beforeLines="50" w:after="157" w:afterLines="50" w:line="240" w:lineRule="auto"/>
              <w:ind w:left="0" w:right="0"/>
              <w:jc w:val="center"/>
              <w:textAlignment w:val="auto"/>
              <w:rPr>
                <w:rFonts w:hint="eastAsia" w:ascii="Microsoft JhengHei"/>
                <w:b/>
                <w:sz w:val="21"/>
                <w:lang w:eastAsia="zh-CN"/>
              </w:rPr>
            </w:pPr>
            <w:r>
              <w:rPr>
                <w:rFonts w:hint="eastAsia" w:ascii="Microsoft JhengHei"/>
                <w:b/>
                <w:sz w:val="21"/>
                <w:lang w:eastAsia="zh-CN"/>
              </w:rPr>
              <w:t>从轻处罚幅度</w:t>
            </w:r>
          </w:p>
        </w:tc>
        <w:tc>
          <w:tcPr>
            <w:tcW w:w="1059"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kinsoku/>
              <w:wordWrap/>
              <w:overflowPunct/>
              <w:topLinePunct w:val="0"/>
              <w:autoSpaceDE/>
              <w:autoSpaceDN/>
              <w:bidi w:val="0"/>
              <w:adjustRightInd/>
              <w:snapToGrid/>
              <w:spacing w:before="157" w:beforeLines="50" w:after="157" w:afterLines="50" w:line="240" w:lineRule="auto"/>
              <w:ind w:left="0" w:right="0"/>
              <w:jc w:val="center"/>
              <w:textAlignment w:val="auto"/>
              <w:rPr>
                <w:rFonts w:hint="eastAsia" w:ascii="Microsoft JhengHei"/>
                <w:b/>
                <w:sz w:val="21"/>
                <w:lang w:eastAsia="zh-CN"/>
              </w:rPr>
            </w:pPr>
            <w:r>
              <w:rPr>
                <w:rFonts w:hint="eastAsia" w:ascii="Microsoft JhengHei"/>
                <w:b/>
                <w:sz w:val="21"/>
                <w:lang w:eastAsia="zh-CN"/>
              </w:rPr>
              <w:t>一般处罚幅度</w:t>
            </w:r>
          </w:p>
        </w:tc>
        <w:tc>
          <w:tcPr>
            <w:tcW w:w="1045"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widowControl/>
              <w:kinsoku/>
              <w:wordWrap/>
              <w:overflowPunct/>
              <w:topLinePunct w:val="0"/>
              <w:autoSpaceDE/>
              <w:autoSpaceDN/>
              <w:bidi w:val="0"/>
              <w:adjustRightInd/>
              <w:snapToGrid/>
              <w:spacing w:before="157" w:beforeLines="50" w:after="157" w:afterLines="50" w:line="240" w:lineRule="auto"/>
              <w:ind w:left="0" w:right="0"/>
              <w:jc w:val="center"/>
              <w:textAlignment w:val="auto"/>
              <w:rPr>
                <w:rFonts w:hint="eastAsia" w:ascii="Microsoft JhengHei"/>
                <w:b/>
                <w:sz w:val="21"/>
                <w:lang w:eastAsia="zh-CN"/>
              </w:rPr>
            </w:pPr>
            <w:r>
              <w:rPr>
                <w:rFonts w:hint="eastAsia" w:ascii="Microsoft JhengHei"/>
                <w:b/>
                <w:sz w:val="21"/>
                <w:lang w:eastAsia="zh-CN"/>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200"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6" w:type="pct"/>
            <w:tcBorders>
              <w:top w:val="single" w:color="000000" w:sz="8" w:space="0"/>
              <w:left w:val="single" w:color="000000" w:sz="8" w:space="0"/>
              <w:bottom w:val="single" w:color="000000" w:sz="8" w:space="0"/>
              <w:right w:val="single" w:color="000000" w:sz="8" w:space="0"/>
            </w:tcBorders>
            <w:noWrap w:val="0"/>
            <w:vAlign w:val="center"/>
          </w:tcPr>
          <w:p>
            <w:pPr>
              <w:pStyle w:val="11"/>
              <w:keepNext w:val="0"/>
              <w:keepLines w:val="0"/>
              <w:pageBreakBefore w:val="0"/>
              <w:kinsoku/>
              <w:wordWrap/>
              <w:overflowPunct/>
              <w:topLinePunct w:val="0"/>
              <w:bidi w:val="0"/>
              <w:adjustRightInd/>
              <w:spacing w:line="240" w:lineRule="auto"/>
              <w:jc w:val="center"/>
              <w:rPr>
                <w:rFonts w:hint="eastAsia" w:ascii="Microsoft JhengHei" w:eastAsia="宋体"/>
                <w:b/>
                <w:sz w:val="21"/>
                <w:lang w:val="en-US" w:eastAsia="zh-CN"/>
              </w:rPr>
            </w:pPr>
            <w:r>
              <w:rPr>
                <w:rFonts w:hint="eastAsia" w:ascii="Microsoft JhengHei" w:eastAsia="宋体"/>
                <w:b/>
                <w:sz w:val="21"/>
                <w:lang w:val="en-US" w:eastAsia="zh-CN"/>
              </w:rPr>
              <w:t>裁量基准</w:t>
            </w:r>
          </w:p>
        </w:tc>
        <w:tc>
          <w:tcPr>
            <w:tcW w:w="1009"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left="0" w:right="0"/>
              <w:jc w:val="both"/>
              <w:textAlignment w:val="auto"/>
              <w:rPr>
                <w:rFonts w:hint="default"/>
                <w:sz w:val="21"/>
                <w:lang w:val="en-US" w:eastAsia="zh-CN"/>
              </w:rPr>
            </w:pPr>
          </w:p>
        </w:tc>
        <w:tc>
          <w:tcPr>
            <w:tcW w:w="1108"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left="0" w:right="0"/>
              <w:jc w:val="both"/>
              <w:textAlignment w:val="auto"/>
              <w:rPr>
                <w:rFonts w:hint="default"/>
                <w:sz w:val="21"/>
                <w:lang w:val="en-US" w:eastAsia="zh-CN"/>
              </w:rPr>
            </w:pPr>
            <w:r>
              <w:rPr>
                <w:rFonts w:hint="eastAsia"/>
                <w:sz w:val="21"/>
                <w:lang w:val="en-US" w:eastAsia="zh-CN"/>
              </w:rPr>
              <w:t>从轻行政处罚，处2万元至2.9万元的罚款。</w:t>
            </w:r>
          </w:p>
        </w:tc>
        <w:tc>
          <w:tcPr>
            <w:tcW w:w="1059"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left="0" w:right="0"/>
              <w:jc w:val="both"/>
              <w:textAlignment w:val="auto"/>
              <w:rPr>
                <w:rFonts w:hint="eastAsia"/>
                <w:sz w:val="21"/>
                <w:lang w:val="en-US" w:eastAsia="zh-CN"/>
              </w:rPr>
            </w:pPr>
            <w:r>
              <w:rPr>
                <w:rFonts w:hint="eastAsia"/>
                <w:sz w:val="21"/>
                <w:lang w:val="en-US" w:eastAsia="zh-CN"/>
              </w:rPr>
              <w:t>一般行政处罚，处2.9万元以上4.1万元以下的罚款。</w:t>
            </w:r>
          </w:p>
        </w:tc>
        <w:tc>
          <w:tcPr>
            <w:tcW w:w="1045" w:type="pct"/>
            <w:tcBorders>
              <w:top w:val="single" w:color="000000" w:sz="8" w:space="0"/>
              <w:left w:val="single" w:color="000000" w:sz="8" w:space="0"/>
              <w:bottom w:val="single" w:color="000000" w:sz="8" w:space="0"/>
              <w:right w:val="single" w:color="000000" w:sz="8"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left="0" w:right="0"/>
              <w:jc w:val="both"/>
              <w:textAlignment w:val="auto"/>
              <w:rPr>
                <w:rFonts w:hint="eastAsia"/>
                <w:sz w:val="21"/>
                <w:lang w:val="en-US" w:eastAsia="zh-CN"/>
              </w:rPr>
            </w:pPr>
            <w:r>
              <w:rPr>
                <w:rFonts w:hint="eastAsia"/>
                <w:sz w:val="21"/>
                <w:lang w:val="en-US" w:eastAsia="zh-CN"/>
              </w:rPr>
              <w:t>从重行政处罚，处4.1万元至5万元的罚款。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1" w:hRule="atLeast"/>
        </w:trPr>
        <w:tc>
          <w:tcPr>
            <w:tcW w:w="200" w:type="pct"/>
            <w:vMerge w:val="continue"/>
            <w:tcBorders>
              <w:right w:val="single" w:color="000000" w:sz="8" w:space="0"/>
            </w:tcBorders>
            <w:noWrap w:val="0"/>
            <w:vAlign w:val="top"/>
          </w:tcPr>
          <w:p>
            <w:pPr>
              <w:keepNext w:val="0"/>
              <w:keepLines w:val="0"/>
              <w:pageBreakBefore w:val="0"/>
              <w:kinsoku/>
              <w:wordWrap/>
              <w:overflowPunct/>
              <w:topLinePunct w:val="0"/>
              <w:bidi w:val="0"/>
              <w:adjustRightInd/>
              <w:spacing w:line="240" w:lineRule="auto"/>
              <w:jc w:val="center"/>
              <w:rPr>
                <w:sz w:val="2"/>
                <w:szCs w:val="2"/>
              </w:rPr>
            </w:pPr>
          </w:p>
        </w:tc>
        <w:tc>
          <w:tcPr>
            <w:tcW w:w="576" w:type="pct"/>
            <w:tcBorders>
              <w:top w:val="single" w:color="000000" w:sz="8" w:space="0"/>
              <w:left w:val="single" w:color="000000" w:sz="8" w:space="0"/>
              <w:right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2" w:line="240" w:lineRule="exact"/>
              <w:ind w:left="17" w:leftChars="0" w:right="11" w:rightChars="0"/>
              <w:jc w:val="both"/>
              <w:textAlignment w:val="auto"/>
              <w:rPr>
                <w:rFonts w:hint="eastAsia" w:eastAsia="宋体"/>
                <w:lang w:val="en-US" w:eastAsia="zh-CN"/>
              </w:rPr>
            </w:pPr>
            <w:r>
              <w:rPr>
                <w:rFonts w:hint="eastAsia" w:ascii="Microsoft JhengHei" w:eastAsia="Microsoft JhengHei"/>
                <w:b/>
                <w:sz w:val="21"/>
                <w:lang w:val="en-US" w:eastAsia="zh-CN"/>
              </w:rPr>
              <w:t>裁量因素</w:t>
            </w:r>
            <w:r>
              <w:rPr>
                <w:rFonts w:hint="eastAsia" w:ascii="Microsoft JhengHei" w:eastAsia="Microsoft JhengHei"/>
                <w:b w:val="0"/>
                <w:bCs/>
                <w:sz w:val="21"/>
                <w:lang w:val="en-US" w:eastAsia="zh-CN"/>
              </w:rPr>
              <w:t>（是指在进行裁量时，除裁量规则规定的从轻、减轻、从重情形外，可以考虑的因素）</w:t>
            </w:r>
          </w:p>
        </w:tc>
        <w:tc>
          <w:tcPr>
            <w:tcW w:w="4222" w:type="pct"/>
            <w:gridSpan w:val="4"/>
            <w:tcBorders>
              <w:top w:val="single" w:color="000000" w:sz="8" w:space="0"/>
              <w:left w:val="single" w:color="auto" w:sz="4" w:space="0"/>
              <w:bottom w:val="single" w:color="auto" w:sz="4" w:space="0"/>
              <w:right w:val="single" w:color="000000" w:sz="8" w:space="0"/>
            </w:tcBorders>
            <w:noWrap w:val="0"/>
            <w:vAlign w:val="center"/>
          </w:tcPr>
          <w:p>
            <w:pPr>
              <w:pStyle w:val="11"/>
              <w:keepNext w:val="0"/>
              <w:keepLines w:val="0"/>
              <w:pageBreakBefore w:val="0"/>
              <w:kinsoku/>
              <w:wordWrap/>
              <w:overflowPunct/>
              <w:topLinePunct w:val="0"/>
              <w:autoSpaceDE w:val="0"/>
              <w:autoSpaceDN w:val="0"/>
              <w:bidi w:val="0"/>
              <w:adjustRightInd/>
              <w:snapToGrid/>
              <w:spacing w:before="2" w:line="240" w:lineRule="auto"/>
              <w:ind w:right="11" w:rightChars="0"/>
              <w:jc w:val="both"/>
              <w:textAlignment w:val="auto"/>
              <w:rPr>
                <w:rFonts w:hint="eastAsia" w:cs="宋体"/>
                <w:b w:val="0"/>
                <w:bCs w:val="0"/>
                <w:color w:val="000000"/>
                <w:kern w:val="0"/>
                <w:sz w:val="21"/>
                <w:szCs w:val="21"/>
                <w:lang w:val="en-US" w:eastAsia="zh-CN" w:bidi="ar"/>
              </w:rPr>
            </w:pPr>
            <w:r>
              <w:rPr>
                <w:rFonts w:hint="eastAsia" w:cs="宋体"/>
                <w:b/>
                <w:bCs/>
                <w:color w:val="000000"/>
                <w:kern w:val="0"/>
                <w:sz w:val="21"/>
                <w:szCs w:val="21"/>
                <w:lang w:val="en-US" w:eastAsia="zh-CN" w:bidi="ar"/>
              </w:rPr>
              <w:t>从轻处罚考虑因素：</w:t>
            </w:r>
            <w:r>
              <w:rPr>
                <w:rFonts w:hint="eastAsia" w:cs="宋体"/>
                <w:b w:val="0"/>
                <w:bCs w:val="0"/>
                <w:color w:val="000000"/>
                <w:kern w:val="0"/>
                <w:sz w:val="21"/>
                <w:szCs w:val="21"/>
                <w:lang w:val="zh-CN" w:eastAsia="zh-CN" w:bidi="ar"/>
              </w:rPr>
              <w:t>初次出租、出借许可证或者批准证明文件的。</w:t>
            </w:r>
          </w:p>
          <w:p>
            <w:pPr>
              <w:pStyle w:val="11"/>
              <w:keepNext w:val="0"/>
              <w:keepLines w:val="0"/>
              <w:pageBreakBefore w:val="0"/>
              <w:kinsoku/>
              <w:wordWrap/>
              <w:overflowPunct/>
              <w:topLinePunct w:val="0"/>
              <w:autoSpaceDE w:val="0"/>
              <w:autoSpaceDN w:val="0"/>
              <w:bidi w:val="0"/>
              <w:adjustRightInd/>
              <w:snapToGrid/>
              <w:spacing w:before="2" w:line="240" w:lineRule="auto"/>
              <w:ind w:right="11" w:rightChars="0"/>
              <w:jc w:val="both"/>
              <w:textAlignment w:val="auto"/>
              <w:rPr>
                <w:rFonts w:hint="eastAsia" w:cs="宋体"/>
                <w:b/>
                <w:bCs/>
                <w:color w:val="000000"/>
                <w:kern w:val="0"/>
                <w:sz w:val="21"/>
                <w:szCs w:val="21"/>
                <w:lang w:val="en-US" w:eastAsia="zh-CN" w:bidi="ar"/>
              </w:rPr>
            </w:pPr>
            <w:r>
              <w:rPr>
                <w:rFonts w:hint="eastAsia" w:cs="宋体"/>
                <w:b/>
                <w:bCs/>
                <w:color w:val="000000"/>
                <w:kern w:val="0"/>
                <w:sz w:val="21"/>
                <w:szCs w:val="21"/>
                <w:lang w:val="en-US" w:eastAsia="zh-CN" w:bidi="ar"/>
              </w:rPr>
              <w:t>从重处罚考虑因素：</w:t>
            </w:r>
          </w:p>
          <w:p>
            <w:pPr>
              <w:pStyle w:val="11"/>
              <w:keepNext w:val="0"/>
              <w:keepLines w:val="0"/>
              <w:pageBreakBefore w:val="0"/>
              <w:kinsoku/>
              <w:wordWrap/>
              <w:overflowPunct/>
              <w:topLinePunct w:val="0"/>
              <w:autoSpaceDE w:val="0"/>
              <w:autoSpaceDN w:val="0"/>
              <w:bidi w:val="0"/>
              <w:adjustRightInd/>
              <w:snapToGrid/>
              <w:spacing w:before="2" w:line="240" w:lineRule="auto"/>
              <w:ind w:right="11" w:rightChars="0"/>
              <w:jc w:val="both"/>
              <w:textAlignment w:val="auto"/>
              <w:rPr>
                <w:rFonts w:hint="eastAsia" w:cs="宋体"/>
                <w:b w:val="0"/>
                <w:bCs w:val="0"/>
                <w:color w:val="000000"/>
                <w:kern w:val="0"/>
                <w:sz w:val="21"/>
                <w:szCs w:val="21"/>
                <w:lang w:val="zh-CN" w:eastAsia="zh-CN" w:bidi="ar"/>
              </w:rPr>
            </w:pPr>
            <w:r>
              <w:rPr>
                <w:rFonts w:hint="eastAsia" w:cs="宋体"/>
                <w:b w:val="0"/>
                <w:bCs w:val="0"/>
                <w:color w:val="000000"/>
                <w:kern w:val="0"/>
                <w:sz w:val="21"/>
                <w:szCs w:val="21"/>
                <w:lang w:val="zh-CN" w:eastAsia="zh-CN" w:bidi="ar"/>
              </w:rPr>
              <w:t>（</w:t>
            </w:r>
            <w:r>
              <w:rPr>
                <w:rFonts w:hint="eastAsia" w:cs="宋体"/>
                <w:b w:val="0"/>
                <w:bCs w:val="0"/>
                <w:color w:val="000000"/>
                <w:kern w:val="0"/>
                <w:sz w:val="21"/>
                <w:szCs w:val="21"/>
                <w:lang w:val="en-US" w:eastAsia="zh-CN" w:bidi="ar"/>
              </w:rPr>
              <w:t>一</w:t>
            </w:r>
            <w:r>
              <w:rPr>
                <w:rFonts w:hint="eastAsia" w:cs="宋体"/>
                <w:b w:val="0"/>
                <w:bCs w:val="0"/>
                <w:color w:val="000000"/>
                <w:kern w:val="0"/>
                <w:sz w:val="21"/>
                <w:szCs w:val="21"/>
                <w:lang w:val="zh-CN" w:eastAsia="zh-CN" w:bidi="ar"/>
              </w:rPr>
              <w:t>）倒卖、转让、出租、出借许可证或者批准证明文件3次以上的；</w:t>
            </w:r>
          </w:p>
          <w:p>
            <w:pPr>
              <w:pStyle w:val="11"/>
              <w:keepNext w:val="0"/>
              <w:keepLines w:val="0"/>
              <w:pageBreakBefore w:val="0"/>
              <w:kinsoku/>
              <w:wordWrap/>
              <w:overflowPunct/>
              <w:topLinePunct w:val="0"/>
              <w:autoSpaceDE w:val="0"/>
              <w:autoSpaceDN w:val="0"/>
              <w:bidi w:val="0"/>
              <w:adjustRightInd/>
              <w:snapToGrid/>
              <w:spacing w:before="2" w:line="240" w:lineRule="auto"/>
              <w:ind w:right="11" w:rightChars="0"/>
              <w:jc w:val="both"/>
              <w:textAlignment w:val="auto"/>
              <w:rPr>
                <w:rFonts w:hint="eastAsia" w:cs="宋体"/>
                <w:b w:val="0"/>
                <w:bCs w:val="0"/>
                <w:color w:val="000000"/>
                <w:kern w:val="0"/>
                <w:sz w:val="21"/>
                <w:szCs w:val="21"/>
                <w:lang w:val="zh-CN" w:eastAsia="zh-CN" w:bidi="ar"/>
              </w:rPr>
            </w:pPr>
            <w:bookmarkStart w:id="14" w:name="No1906_T120K4X2"/>
            <w:bookmarkEnd w:id="14"/>
            <w:r>
              <w:rPr>
                <w:rFonts w:hint="eastAsia" w:cs="宋体"/>
                <w:b w:val="0"/>
                <w:bCs w:val="0"/>
                <w:color w:val="000000"/>
                <w:kern w:val="0"/>
                <w:sz w:val="21"/>
                <w:szCs w:val="21"/>
                <w:lang w:val="zh-CN" w:eastAsia="zh-CN" w:bidi="ar"/>
              </w:rPr>
              <w:t>（二）涂改许可证或者批准证明文件的；</w:t>
            </w:r>
          </w:p>
          <w:p>
            <w:pPr>
              <w:pStyle w:val="11"/>
              <w:keepNext w:val="0"/>
              <w:keepLines w:val="0"/>
              <w:pageBreakBefore w:val="0"/>
              <w:kinsoku/>
              <w:wordWrap/>
              <w:overflowPunct/>
              <w:topLinePunct w:val="0"/>
              <w:autoSpaceDE w:val="0"/>
              <w:autoSpaceDN w:val="0"/>
              <w:bidi w:val="0"/>
              <w:adjustRightInd/>
              <w:snapToGrid/>
              <w:spacing w:before="2" w:line="240" w:lineRule="auto"/>
              <w:ind w:right="11" w:rightChars="0"/>
              <w:jc w:val="both"/>
              <w:textAlignment w:val="auto"/>
              <w:rPr>
                <w:rFonts w:hint="eastAsia" w:eastAsia="宋体"/>
                <w:sz w:val="21"/>
                <w:lang w:val="en-US" w:eastAsia="zh-CN"/>
              </w:rPr>
            </w:pPr>
            <w:bookmarkStart w:id="15" w:name="No1907_T120K4X3"/>
            <w:bookmarkEnd w:id="15"/>
            <w:r>
              <w:rPr>
                <w:rFonts w:hint="eastAsia" w:cs="宋体"/>
                <w:b w:val="0"/>
                <w:bCs w:val="0"/>
                <w:color w:val="000000"/>
                <w:kern w:val="0"/>
                <w:sz w:val="21"/>
                <w:szCs w:val="21"/>
                <w:lang w:val="zh-CN" w:eastAsia="zh-CN" w:bidi="ar"/>
              </w:rPr>
              <w:t>（三）造成麻醉药品或者精神药品流弊的。</w:t>
            </w:r>
          </w:p>
        </w:tc>
      </w:tr>
    </w:tbl>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Microsoft JhengHei">
    <w:altName w:val="宋体"/>
    <w:panose1 w:val="020B0604030504040204"/>
    <w:charset w:val="88"/>
    <w:family w:val="swiss"/>
    <w:pitch w:val="default"/>
    <w:sig w:usb0="00000000" w:usb1="00000000" w:usb2="00000016" w:usb3="00000000" w:csb0="00100009" w:csb1="00000000"/>
  </w:font>
  <w:font w:name="方正小标宋_GBK">
    <w:panose1 w:val="02000000000000000000"/>
    <w:charset w:val="86"/>
    <w:family w:val="auto"/>
    <w:pitch w:val="default"/>
    <w:sig w:usb0="00000001" w:usb1="08000000" w:usb2="00000000" w:usb3="00000000" w:csb0="00040000" w:csb1="00000000"/>
  </w:font>
  <w:font w:name="国标黑体">
    <w:panose1 w:val="020005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ind w:firstLine="284"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ind w:firstLine="284" w:firstLineChars="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3F401"/>
    <w:multiLevelType w:val="singleLevel"/>
    <w:tmpl w:val="0003F401"/>
    <w:lvl w:ilvl="0" w:tentative="0">
      <w:start w:val="1"/>
      <w:numFmt w:val="decimal"/>
      <w:pStyle w:val="4"/>
      <w:lvlText w:val="%1."/>
      <w:lvlJc w:val="left"/>
      <w:pPr>
        <w:ind w:left="425" w:hanging="425"/>
      </w:pPr>
      <w:rPr>
        <w:rFonts w:hint="default"/>
      </w:rPr>
    </w:lvl>
  </w:abstractNum>
  <w:abstractNum w:abstractNumId="1">
    <w:nsid w:val="041736B8"/>
    <w:multiLevelType w:val="singleLevel"/>
    <w:tmpl w:val="041736B8"/>
    <w:lvl w:ilvl="0" w:tentative="0">
      <w:start w:val="1"/>
      <w:numFmt w:val="chineseCounting"/>
      <w:pStyle w:val="2"/>
      <w:suff w:val="nothing"/>
      <w:lvlText w:val="%1、"/>
      <w:lvlJc w:val="left"/>
      <w:pPr>
        <w:ind w:left="0" w:firstLine="420"/>
      </w:pPr>
      <w:rPr>
        <w:rFonts w:hint="eastAsia"/>
      </w:rPr>
    </w:lvl>
  </w:abstractNum>
  <w:abstractNum w:abstractNumId="2">
    <w:nsid w:val="0BCDC817"/>
    <w:multiLevelType w:val="singleLevel"/>
    <w:tmpl w:val="0BCDC817"/>
    <w:lvl w:ilvl="0" w:tentative="0">
      <w:start w:val="1"/>
      <w:numFmt w:val="chineseCounting"/>
      <w:pStyle w:val="3"/>
      <w:suff w:val="nothing"/>
      <w:lvlText w:val="（%1）"/>
      <w:lvlJc w:val="left"/>
      <w:pPr>
        <w:ind w:left="0" w:firstLine="42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TrueTypeFonts/>
  <w:saveSubsetFonts/>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A0FD0"/>
    <w:rsid w:val="0913454C"/>
    <w:rsid w:val="0DB42355"/>
    <w:rsid w:val="0ECD6DF7"/>
    <w:rsid w:val="0F3130E4"/>
    <w:rsid w:val="144F6C1B"/>
    <w:rsid w:val="185A16FC"/>
    <w:rsid w:val="1A8B64E4"/>
    <w:rsid w:val="1B3F4EF1"/>
    <w:rsid w:val="1BF24C7D"/>
    <w:rsid w:val="1D2C3B5F"/>
    <w:rsid w:val="1DFEC6A2"/>
    <w:rsid w:val="1EBD4A2A"/>
    <w:rsid w:val="25DB6FEA"/>
    <w:rsid w:val="2CD13375"/>
    <w:rsid w:val="30E101ED"/>
    <w:rsid w:val="33214D16"/>
    <w:rsid w:val="357850C8"/>
    <w:rsid w:val="37E90C3B"/>
    <w:rsid w:val="39C11183"/>
    <w:rsid w:val="3B3B4F65"/>
    <w:rsid w:val="3E855C22"/>
    <w:rsid w:val="3FD7D9FF"/>
    <w:rsid w:val="44D02BC2"/>
    <w:rsid w:val="475305F1"/>
    <w:rsid w:val="494E20EE"/>
    <w:rsid w:val="4AA541A9"/>
    <w:rsid w:val="575D64CC"/>
    <w:rsid w:val="5FCA16FF"/>
    <w:rsid w:val="61D82C37"/>
    <w:rsid w:val="67D3252F"/>
    <w:rsid w:val="689C2786"/>
    <w:rsid w:val="73661566"/>
    <w:rsid w:val="73F7EA0C"/>
    <w:rsid w:val="74EFB629"/>
    <w:rsid w:val="7AFC4E70"/>
    <w:rsid w:val="7C9F42F5"/>
    <w:rsid w:val="7D133070"/>
    <w:rsid w:val="7EBED566"/>
    <w:rsid w:val="9DF1B311"/>
    <w:rsid w:val="AFC3B992"/>
    <w:rsid w:val="AFFFAD64"/>
    <w:rsid w:val="B63D82BA"/>
    <w:rsid w:val="C3677982"/>
    <w:rsid w:val="DEC94F57"/>
    <w:rsid w:val="DF7FA8C9"/>
    <w:rsid w:val="DFF3703B"/>
    <w:rsid w:val="F3FB1B95"/>
    <w:rsid w:val="F59D0751"/>
    <w:rsid w:val="F7D727F6"/>
    <w:rsid w:val="F7EF5B21"/>
    <w:rsid w:val="F8FB84D0"/>
    <w:rsid w:val="FDF95EED"/>
    <w:rsid w:val="FEFF3198"/>
    <w:rsid w:val="FFDFEDB3"/>
    <w:rsid w:val="FFFFF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0"/>
    <w:pPr>
      <w:numPr>
        <w:ilvl w:val="0"/>
        <w:numId w:val="1"/>
      </w:numPr>
      <w:outlineLvl w:val="0"/>
    </w:pPr>
    <w:rPr>
      <w:rFonts w:ascii="仿宋_GB2312" w:hAnsi="仿宋_GB2312" w:eastAsia="仿宋_GB2312" w:cs="仿宋_GB2312"/>
      <w:b/>
      <w:bCs/>
      <w:sz w:val="24"/>
      <w:szCs w:val="32"/>
    </w:rPr>
  </w:style>
  <w:style w:type="paragraph" w:styleId="3">
    <w:name w:val="heading 2"/>
    <w:basedOn w:val="1"/>
    <w:next w:val="1"/>
    <w:link w:val="10"/>
    <w:semiHidden/>
    <w:unhideWhenUsed/>
    <w:qFormat/>
    <w:uiPriority w:val="0"/>
    <w:pPr>
      <w:keepNext/>
      <w:keepLines/>
      <w:numPr>
        <w:ilvl w:val="0"/>
        <w:numId w:val="2"/>
      </w:numPr>
      <w:spacing w:before="50" w:beforeLines="50" w:beforeAutospacing="0" w:after="50" w:afterLines="50" w:afterAutospacing="0" w:line="340" w:lineRule="exact"/>
      <w:ind w:firstLine="0" w:firstLineChars="0"/>
      <w:jc w:val="left"/>
      <w:outlineLvl w:val="1"/>
    </w:pPr>
    <w:rPr>
      <w:rFonts w:ascii="Arial" w:hAnsi="Arial" w:eastAsia="仿宋" w:cs="Times New Roman"/>
      <w:b/>
      <w:sz w:val="24"/>
      <w:szCs w:val="28"/>
    </w:rPr>
  </w:style>
  <w:style w:type="paragraph" w:styleId="4">
    <w:name w:val="heading 3"/>
    <w:basedOn w:val="1"/>
    <w:next w:val="1"/>
    <w:semiHidden/>
    <w:unhideWhenUsed/>
    <w:qFormat/>
    <w:uiPriority w:val="0"/>
    <w:pPr>
      <w:keepNext/>
      <w:keepLines/>
      <w:numPr>
        <w:ilvl w:val="0"/>
        <w:numId w:val="3"/>
      </w:numPr>
      <w:spacing w:before="50" w:beforeLines="50" w:beforeAutospacing="0" w:after="50" w:afterLines="50" w:afterAutospacing="0" w:line="340" w:lineRule="exact"/>
      <w:ind w:firstLine="0" w:firstLineChars="0"/>
      <w:jc w:val="left"/>
      <w:outlineLvl w:val="2"/>
    </w:pPr>
    <w:rPr>
      <w:rFonts w:ascii="Calibri" w:hAnsi="Calibri" w:cs="Times New Roman"/>
      <w:b/>
    </w:rPr>
  </w:style>
  <w:style w:type="paragraph" w:styleId="5">
    <w:name w:val="heading 4"/>
    <w:basedOn w:val="1"/>
    <w:next w:val="1"/>
    <w:semiHidden/>
    <w:unhideWhenUsed/>
    <w:qFormat/>
    <w:uiPriority w:val="0"/>
    <w:pPr>
      <w:keepNext/>
      <w:keepLines/>
      <w:spacing w:before="50" w:beforeLines="50" w:beforeAutospacing="0" w:after="50" w:afterLines="50" w:afterAutospacing="0" w:line="340" w:lineRule="exact"/>
      <w:outlineLvl w:val="3"/>
    </w:pPr>
    <w:rPr>
      <w:rFonts w:ascii="Arial" w:hAnsi="Arial" w:eastAsia="宋体" w:cs="仿宋_GB2312"/>
      <w:b/>
      <w:sz w:val="21"/>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标题 2 Char"/>
    <w:link w:val="3"/>
    <w:qFormat/>
    <w:uiPriority w:val="0"/>
    <w:rPr>
      <w:rFonts w:ascii="Arial" w:hAnsi="Arial" w:eastAsia="仿宋" w:cs="Times New Roman"/>
      <w:b/>
      <w:sz w:val="24"/>
      <w:szCs w:val="28"/>
    </w:rPr>
  </w:style>
  <w:style w:type="paragraph" w:customStyle="1" w:styleId="11">
    <w:name w:val="Table Paragraph"/>
    <w:qFormat/>
    <w:uiPriority w:val="1"/>
    <w:pPr>
      <w:widowControl w:val="0"/>
      <w:autoSpaceDE w:val="0"/>
      <w:autoSpaceDN w:val="0"/>
    </w:pPr>
    <w:rPr>
      <w:rFonts w:ascii="宋体" w:hAnsi="宋体" w:eastAsia="宋体" w:cs="宋体"/>
      <w:sz w:val="22"/>
      <w:szCs w:val="22"/>
      <w:lang w:val="zh-CN" w:eastAsia="zh-CN" w:bidi="zh-CN"/>
    </w:rPr>
  </w:style>
  <w:style w:type="paragraph" w:customStyle="1" w:styleId="12">
    <w:name w:val="p"/>
    <w:qFormat/>
    <w:uiPriority w:val="0"/>
    <w:pPr>
      <w:widowControl w:val="0"/>
      <w:pBdr>
        <w:top w:val="none" w:color="auto" w:sz="0" w:space="0"/>
        <w:left w:val="none" w:color="auto" w:sz="0" w:space="0"/>
        <w:bottom w:val="none" w:color="auto" w:sz="0" w:space="0"/>
        <w:right w:val="none" w:color="auto" w:sz="0" w:space="0"/>
      </w:pBdr>
      <w:autoSpaceDE w:val="0"/>
      <w:autoSpaceDN w:val="0"/>
      <w:spacing w:line="390" w:lineRule="atLeast"/>
      <w:ind w:firstLine="420"/>
      <w:textAlignment w:val="center"/>
    </w:pPr>
    <w:rPr>
      <w:rFonts w:ascii="宋体" w:hAnsi="宋体" w:eastAsia="宋体" w:cs="宋体"/>
      <w:kern w:val="0"/>
      <w:sz w:val="24"/>
      <w:szCs w:val="22"/>
      <w:lang w:val="en-US" w:eastAsia="zh-CN" w:bidi="ar"/>
    </w:rPr>
  </w:style>
  <w:style w:type="character" w:customStyle="1" w:styleId="13">
    <w:name w:val="a"/>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979</Words>
  <Characters>1007</Characters>
  <Lines>0</Lines>
  <Paragraphs>0</Paragraphs>
  <TotalTime>24</TotalTime>
  <ScaleCrop>false</ScaleCrop>
  <LinksUpToDate>false</LinksUpToDate>
  <CharactersWithSpaces>1030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2024-07-07T18:33:00Z</dcterms:created>
  <dc:creator>Administrator</dc:creator>
  <cp:lastModifiedBy>a123</cp:lastModifiedBy>
  <dcterms:modified xsi:type="dcterms:W3CDTF">2025-08-12T11:30:55Z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724499B0E05C4EB5897881F53295F561_13</vt:lpwstr>
  </property>
  <property fmtid="{D5CDD505-2E9C-101B-9397-08002B2CF9AE}" pid="4" name="KSOTemplateDocerSaveRecord">
    <vt:lpwstr>eyJoZGlkIjoiMzFjZDVhNjAwMmI2ZTg5YTI2OWRjMmZjMjExNWE3MzEiLCJ1c2VySWQiOiI0MzM5MjY1MzAifQ==</vt:lpwstr>
  </property>
</Properties>
</file>